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LANTOS</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Lénárd MD</w:t>
            </w:r>
          </w:p>
          <w:p w:rsidR="00DB4822" w:rsidRDefault="00DB4822" w:rsidP="00E11062">
            <w:pPr>
              <w:pStyle w:val="Konzulensek"/>
            </w:pPr>
            <w:r w:rsidRPr="00DB4822">
              <w:t>assistant professor,  University of Pécs Clinical Centre
Heart Institute</w:t>
            </w:r>
          </w:p>
        </w:tc>
      </w:tr>
      <w:tr w:rsidR="00DB4822" w:rsidTr="00DB4822">
        <w:tc>
          <w:tcPr>
            <w:tcW w:w="9854" w:type="dxa"/>
          </w:tcPr>
          <w:p w:rsidR="00DB4822" w:rsidRPr="00DB4822" w:rsidRDefault="00DB4822" w:rsidP="004D7940">
            <w:pPr>
              <w:pStyle w:val="Konzulensek"/>
            </w:pPr>
            <w:r w:rsidRPr="00DB4822">
              <w:t>Orsolya Gilicze MD</w:t>
            </w:r>
          </w:p>
          <w:p w:rsidR="00DB4822" w:rsidRDefault="00DB4822" w:rsidP="00E11062">
            <w:pPr>
              <w:pStyle w:val="Konzulensek"/>
            </w:pPr>
            <w:r w:rsidRPr="00DB4822">
              <w:t>clinical doctor,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pericardial fluid’s lymphocytes and alteration of these cells with cardiovascular risk factors in patients undergoing cardiac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Ischemic heart disease is one of the leading causes of death in the developed countries. The major risk factors of ischemic heart disease are diabetes mellitus, obesity and smoking. The pericardial fluid (PF) has an anatomically close connection to the heart, partly isolated from the systemic circulation, however its contents alternate dinamically. The literature about its immunological investigation is scant.</w:t>
      </w:r>
      <w:r>
        <w:rPr>
          <w:color w:val="000000"/>
          <w:sz w:val="24"/>
          <w:szCs w:val="24"/>
        </w:rPr>
        <w:br/>
        <w:t xml:space="preserve">Methods: Our aims were to determine and compare lymphocyte subpopulations in pericardial fluid in patients undergoing cardiac surgery (B-cells, totalT-cells, T4, T8, naive-T, memory-T, NK, NKT, INKT, γδ-T), and to compare the alteration of these cells in patients with the risk factors mentioned above. After strict selection we processed the sample of 36 patients. The patient groups: 1. ischemic patients who previously had myocardial infarction, 2. ischemic patients without infarction, 3. patients suffered from aortic valve disease. After the fluorescent labelling of the cells, we measured them with flow cytometer. The statistical analysis was executed by SPSS.</w:t>
      </w:r>
      <w:r>
        <w:rPr>
          <w:color w:val="000000"/>
          <w:sz w:val="24"/>
          <w:szCs w:val="24"/>
        </w:rPr>
        <w:br/>
        <w:t xml:space="preserve">Results: In the pericardial fluid significantly less lymphocytes can be found than in the peripheral blood, but similarly to the blood, all the subpopulations are present in the PF, nevertheless in variant distribution. In the PF of patient group No.2 significantly more activated-T cells were measured compared to the other groups. The leading results of our risk factor investigations are the followings: killerT-cell number is significantly higher in the PF of smokers than in non-smokers. Patients with normal BMI have a significantly higher totalT-cell number in their PF compared to the patients with high BMI, but the latter group had significantly more iNKT-cells.</w:t>
      </w:r>
      <w:r>
        <w:rPr>
          <w:color w:val="000000"/>
          <w:sz w:val="24"/>
          <w:szCs w:val="24"/>
        </w:rPr>
        <w:br/>
        <w:t xml:space="preserve">Conclusion: We can claim that all the lymphocyte subpopulations we investigated could be found in the PF, but in a special distribution. This distribution has an alteration in the presence of the mentioned risk factors. Our results refers to the fact, that besides the adaptive immunity, the innate immune system can have a role in the formation of the microenvironment in the pericardial space, and in the pathomechanism of ischemic heart disease.</w:t>
      </w:r>
      <w:r>
        <w:rPr>
          <w:color w:val="000000"/>
          <w:sz w:val="24"/>
          <w:szCs w:val="24"/>
        </w:rPr>
        <w:br/>
        <w:t xml:space="preserve">Grant support: ETT342/09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75425">
    <w:multiLevelType w:val="hybridMultilevel"/>
    <w:lvl w:ilvl="0" w:tplc="67352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75425">
    <w:abstractNumId w:val="47275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549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