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NÉMETH</w:t>
            </w:r>
          </w:p>
          <w:p w:rsidR="00C275A3" w:rsidRDefault="00A96AEC" w:rsidP="00C275A3">
            <w:pPr>
              <w:pStyle w:val="Hallgatokepzes"/>
            </w:pPr>
            <w:r>
              <w:t>Faculty of Medicine</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Bátai </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intraoperative intravenous lidocaine infusion on the stress response to thoracotomy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Stress response is an unavoidable sequel of operations. Reduction of stress response favourably affects postoperative morbidity and mortality. The most effective way of reducing stress response is thoracic epidural anaesthesia (TEA). Sometimes we fail to set it up or the patient refuses it, and even its successful accomplishment does not give a perfect result. Previously the analgesic effect of intraoperative intravenous lidocaine infusion was detected in abdominal operations. In this randomized, prospective clinical trial we aimed to analyze the effect of intraoperative lidocaine treatment on the perioperative stress response.</w:t>
      </w:r>
      <w:r>
        <w:rPr>
          <w:color w:val="000000"/>
          <w:sz w:val="24"/>
          <w:szCs w:val="24"/>
        </w:rPr>
        <w:br/>
        <w:t xml:space="preserve">Methods: A total of 40 ASA I or II patients undergoing elective thoracic surgery were devided into two groups. Before induction of general anesthesia epidural analgesia was performed in each group. In Group C (contol) lidocaine was not administered, while in Group L a bolus of 1 mg/kg lidocaine was given intravenously at the beginning of general anaesthesia and a continuous infusion of 1 mg/kg/h during the operation. Blood samples were taken at the beginning and at the end of the operation, at the first and third postoperative days. The shift in leukocytes and in the percentage of granulocytes, lymphocytes and monocytes were followed. Indicators of oxidative stress and the endogen antioxidant system were measured. Among the prooxidative stress markers malondialdehyde concentration, myeloperoxidase enzyme activity, and reactive oxygen species production in whole blood (ROS) were monitored. From the endogen antioxidant side the plasma protein SH group level, total reduced glutathion concentration, superoxide dismutase enzyme activity, and catalase enzyme activity were measured. For statistical evaluation Mann-Whitney U test were performed, and values of p&lt;0,05 were considered significant.</w:t>
      </w:r>
      <w:r>
        <w:rPr>
          <w:color w:val="000000"/>
          <w:sz w:val="24"/>
          <w:szCs w:val="24"/>
        </w:rPr>
        <w:br/>
        <w:t xml:space="preserve">Results: Lidocaine treatment significantly reduced the surgical trauma induced granulocytosis (80,1±3,4 vs. 69,7±2,6 %) and lymphocytopenia (12,9±2,5 vs. 21,2±2,3 %) by the 3rd postoperative day. In the lidocaine-treated group the level of plasma MDA (0,86±0,09 vs. 1,22±0,09 nM) and catalase activity (2193±174 vs. 2660±66 BE/ml) were significant lower as in the control group at the postoperative period.</w:t>
      </w:r>
      <w:r>
        <w:rPr>
          <w:color w:val="000000"/>
          <w:sz w:val="24"/>
          <w:szCs w:val="24"/>
        </w:rPr>
        <w:br/>
        <w:t xml:space="preserve">Conclusion: On the bases of significant variation of some oxidative stress parameters intraoperative lidocaine infusion has a beneficial effect on the stress response of patients underwent to thoracotomy.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72326">
    <w:multiLevelType w:val="hybridMultilevel"/>
    <w:lvl w:ilvl="0" w:tplc="10870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72326">
    <w:abstractNumId w:val="268723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001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