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SÁROSI ESZTER</w:t>
            </w:r>
          </w:p>
          <w:p w:rsidR="00C275A3" w:rsidRDefault="00A96AEC" w:rsidP="00C275A3">
            <w:pPr>
              <w:pStyle w:val="Hallgatokepzes"/>
            </w:pPr>
            <w:r>
              <w:t>ÁOSZ - Általános Orvostudományi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Decsi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PARP-1 hiányának hatása a szérum zsírsavösszetételére oxazolon-indukálta kontakt hiperszenzitivitási reakcióban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poli(ADP-ribóz) polimeráz (PARP) enzimcsaládba tartozó PARP-1 enzimről ismert, hogy befolyásolja a gyulladás mértékét oxazolon indukálta kontakt hiperszenzitivitási reakció (CHS) in vivo egérmodelljében. Arra a kérdésre kerestük a választ, hogy kísérleti egereink PARP-1 genotípusa befolyásolja-e a szérum zsírsavfrakcióinak összetételét.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és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egerek csoportjaiban (n = 6, csoportonként, 6-8 hónapos kor), borotvált hasi bőrön végzett 100 mikroliter, 20 g/dm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koncentrációjú oxazolon-oldatos vagy tiszta oldószeres (aceton:olívaolaj 1:4 V/V) szenzitizáció után egy héttel váltottuk ki a hiperszenzitivitási reakciót szőrtelenített hátbőrön 100 mikroliter 5 g/dm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koncentrációjú oxazolon oldattal. A kiváltás után 24 órával határoztuk meg a szérum foszfolipid-, triacil-glicerin- és szterin-észter frakcióinak zsírsavösszetételét.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foszfolipid frakció 20:3n-6 értéke szignifikánsan kisebb volt a vadtípus kontrollcsoportjában a másik három csoporthoz képest (0,799</w:t>
      </w:r>
      <w:r>
        <w:rPr>
          <w:color w:val="000000"/>
          <w:position w:val="4"/>
          <w:sz w:val="21"/>
          <w:szCs w:val="21"/>
          <w:vertAlign w:val="superscript"/>
        </w:rPr>
        <w:t xml:space="preserve"> a,b,c</w:t>
      </w:r>
      <w:r>
        <w:rPr>
          <w:color w:val="000000"/>
          <w:sz w:val="24"/>
          <w:szCs w:val="24"/>
        </w:rPr>
        <w:t xml:space="preserve"> [0,031] vs. 1,171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 [0,133] vs. 1,028</w:t>
      </w:r>
      <w:r>
        <w:rPr>
          <w:color w:val="000000"/>
          <w:position w:val="4"/>
          <w:sz w:val="21"/>
          <w:szCs w:val="21"/>
          <w:vertAlign w:val="superscript"/>
        </w:rPr>
        <w:t xml:space="preserve">b</w:t>
      </w:r>
      <w:r>
        <w:rPr>
          <w:color w:val="000000"/>
          <w:sz w:val="24"/>
          <w:szCs w:val="24"/>
        </w:rPr>
        <w:t xml:space="preserve"> [0,086] vs. 1,132</w:t>
      </w:r>
      <w:r>
        <w:rPr>
          <w:color w:val="000000"/>
          <w:position w:val="4"/>
          <w:sz w:val="21"/>
          <w:szCs w:val="21"/>
          <w:vertAlign w:val="superscript"/>
        </w:rPr>
        <w:t xml:space="preserve">c</w:t>
      </w:r>
      <w:r>
        <w:rPr>
          <w:color w:val="000000"/>
          <w:sz w:val="24"/>
          <w:szCs w:val="24"/>
        </w:rPr>
        <w:t xml:space="preserve"> [0,283] (tömeg%, medián [IQR];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kontroll vs.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CHS vs.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kontroll vs.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CHS, p &lt;0,05)). A foszfolipid frakció 22:6n-3 értéke szignifikánsan magasabb volt a kontroll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egerekben, mint a vad típusban (4,315</w:t>
      </w:r>
      <w:r>
        <w:rPr>
          <w:color w:val="000000"/>
          <w:position w:val="4"/>
          <w:sz w:val="21"/>
          <w:szCs w:val="21"/>
          <w:vertAlign w:val="superscript"/>
        </w:rPr>
        <w:t xml:space="preserve">a,b</w:t>
      </w:r>
      <w:r>
        <w:rPr>
          <w:color w:val="000000"/>
          <w:sz w:val="24"/>
          <w:szCs w:val="24"/>
        </w:rPr>
        <w:t xml:space="preserve"> [0,515] vs. 4,958 [1,410] vs. 5,725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 [0,567] vs. 5,735</w:t>
      </w:r>
      <w:r>
        <w:rPr>
          <w:color w:val="000000"/>
          <w:position w:val="4"/>
          <w:sz w:val="21"/>
          <w:szCs w:val="21"/>
          <w:vertAlign w:val="superscript"/>
        </w:rPr>
        <w:t xml:space="preserve">b</w:t>
      </w:r>
      <w:r>
        <w:rPr>
          <w:color w:val="000000"/>
          <w:sz w:val="24"/>
          <w:szCs w:val="24"/>
        </w:rPr>
        <w:t xml:space="preserve"> [0,988]). A delta-6 deszaturáz enzim hatékonyságára jellemző hányados a triacil-glicerin frakcióban magasabb volt a génhiányos egerek szenzitizálása után, mint a két kontrollcsoportban ((18:3n-6 + 20:3n-6)/18:2n-6) (0,019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 [0,003] vs. 0,028 [0,003] vs. 0,025</w:t>
      </w:r>
      <w:r>
        <w:rPr>
          <w:color w:val="000000"/>
          <w:position w:val="4"/>
          <w:sz w:val="21"/>
          <w:szCs w:val="21"/>
          <w:vertAlign w:val="superscript"/>
        </w:rPr>
        <w:t xml:space="preserve">b</w:t>
      </w:r>
      <w:r>
        <w:rPr>
          <w:color w:val="000000"/>
          <w:sz w:val="24"/>
          <w:szCs w:val="24"/>
        </w:rPr>
        <w:t xml:space="preserve"> [0,005] vs. 0,030</w:t>
      </w:r>
      <w:r>
        <w:rPr>
          <w:color w:val="000000"/>
          <w:position w:val="4"/>
          <w:sz w:val="21"/>
          <w:szCs w:val="21"/>
          <w:vertAlign w:val="superscript"/>
        </w:rPr>
        <w:t xml:space="preserve">a,b</w:t>
      </w:r>
      <w:r>
        <w:rPr>
          <w:color w:val="000000"/>
          <w:sz w:val="24"/>
          <w:szCs w:val="24"/>
        </w:rPr>
        <w:t xml:space="preserve"> [0,005]).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PARP-1 deléciója befolyásolta a hosszú szénláncú, többszörösen telítetlen n-3 és n-6 zsírsavak szintézisét in vivo kísérletünkben. Mivel ezen zsírsavak a gyulladásos mediátorok előanyagaiként is ismertek, feltételezhető, hogy a szérum zsírsavösszetételében észlelt változás anti-inflammatórikus hatást gyakorolhat.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TÁMOP-4.2.2. A-11/1/KONV-2012-0025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90739">
    <w:multiLevelType w:val="hybridMultilevel"/>
    <w:lvl w:ilvl="0" w:tplc="84570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90739">
    <w:abstractNumId w:val="69390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234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