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SÁROSI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Medical School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Tamás Decsi MD</w:t>
            </w:r>
          </w:p>
          <w:p w:rsidR="00DB4822" w:rsidRDefault="00DB4822" w:rsidP="00E11062">
            <w:pPr>
              <w:pStyle w:val="Konzulensek"/>
            </w:pPr>
            <w:r w:rsidRPr="00DB4822">
              <w:t>professor,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Bai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 of lack of PARP-1 on fatty acid composition of serum in oxazolone-induced contact hypersensitivity reaction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Poly(ADP-ribose) polymerase-1 (PARP-1) is a member of PARP enzyme superfamily. It is known, that PARP-1 influences the extent of inflammation in a mouse model of oxazolone-induced contact hypersensitivity (CHS) in vivo. Our main question was, whether ablation of PARP-1 of our experimental mice may influence the composition of fatty acid fractions in the serum.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Methods: PARP-1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/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and PARP-1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/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 mice (n=6, per groups, age of 6-8 months) were sensitized by smearing 100 microliter of 20 g/dm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oxazolone or vehicle (acetone:olive oil 1:4 V/V) onto the preshaved abdominal wall. One week after sensitization CHS was elicited by smearing 100 microliter of 5 g/dm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oxazolone onto preshaved backskin. 24 hours after elicitation fatty acid composition of phospholipid-, triacylglycerol-, and sterolesther fractions of serum were analyzed.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Results: The 20:3n-6 values in phospholipid fraction were significantly lower in the wild type control group, than in the three other groups (0.799</w:t>
      </w:r>
      <w:r>
        <w:rPr>
          <w:color w:val="000000"/>
          <w:position w:val="4"/>
          <w:sz w:val="21"/>
          <w:szCs w:val="21"/>
          <w:vertAlign w:val="superscript"/>
        </w:rPr>
        <w:t xml:space="preserve"> a,b,c</w:t>
      </w:r>
      <w:r>
        <w:rPr>
          <w:color w:val="000000"/>
          <w:sz w:val="24"/>
          <w:szCs w:val="24"/>
        </w:rPr>
        <w:t xml:space="preserve"> [0.031] vs. 1.171</w:t>
      </w:r>
      <w:r>
        <w:rPr>
          <w:color w:val="000000"/>
          <w:position w:val="4"/>
          <w:sz w:val="21"/>
          <w:szCs w:val="21"/>
          <w:vertAlign w:val="superscript"/>
        </w:rPr>
        <w:t xml:space="preserve">a</w:t>
      </w:r>
      <w:r>
        <w:rPr>
          <w:color w:val="000000"/>
          <w:sz w:val="24"/>
          <w:szCs w:val="24"/>
        </w:rPr>
        <w:t xml:space="preserve"> [0.133] vs. 1.028</w:t>
      </w:r>
      <w:r>
        <w:rPr>
          <w:color w:val="000000"/>
          <w:position w:val="4"/>
          <w:sz w:val="21"/>
          <w:szCs w:val="21"/>
          <w:vertAlign w:val="superscript"/>
        </w:rPr>
        <w:t xml:space="preserve">b</w:t>
      </w:r>
      <w:r>
        <w:rPr>
          <w:color w:val="000000"/>
          <w:sz w:val="24"/>
          <w:szCs w:val="24"/>
        </w:rPr>
        <w:t xml:space="preserve"> [0.086] vs. 1.132</w:t>
      </w:r>
      <w:r>
        <w:rPr>
          <w:color w:val="000000"/>
          <w:position w:val="4"/>
          <w:sz w:val="21"/>
          <w:szCs w:val="21"/>
          <w:vertAlign w:val="superscript"/>
        </w:rPr>
        <w:t xml:space="preserve">c</w:t>
      </w:r>
      <w:r>
        <w:rPr>
          <w:color w:val="000000"/>
          <w:sz w:val="24"/>
          <w:szCs w:val="24"/>
        </w:rPr>
        <w:t xml:space="preserve"> [0.283] (weight%, median [IQR]; PARP-1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/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control vs. PARP-1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/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CHS vs. PARP-1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/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 control vs. PARP-1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/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 CHS, p &lt;0.05)). The 22:6n-3 values in phospholipids were significantly higher in control PARP-1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/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 mice, than in wild type (4.315</w:t>
      </w:r>
      <w:r>
        <w:rPr>
          <w:color w:val="000000"/>
          <w:position w:val="4"/>
          <w:sz w:val="21"/>
          <w:szCs w:val="21"/>
          <w:vertAlign w:val="superscript"/>
        </w:rPr>
        <w:t xml:space="preserve">a,b</w:t>
      </w:r>
      <w:r>
        <w:rPr>
          <w:color w:val="000000"/>
          <w:sz w:val="24"/>
          <w:szCs w:val="24"/>
        </w:rPr>
        <w:t xml:space="preserve"> [0.515] vs. 4.958 [1.410] vs. 5.725</w:t>
      </w:r>
      <w:r>
        <w:rPr>
          <w:color w:val="000000"/>
          <w:position w:val="4"/>
          <w:sz w:val="21"/>
          <w:szCs w:val="21"/>
          <w:vertAlign w:val="superscript"/>
        </w:rPr>
        <w:t xml:space="preserve">a</w:t>
      </w:r>
      <w:r>
        <w:rPr>
          <w:color w:val="000000"/>
          <w:sz w:val="24"/>
          <w:szCs w:val="24"/>
        </w:rPr>
        <w:t xml:space="preserve"> [0.567] vs. 5.735</w:t>
      </w:r>
      <w:r>
        <w:rPr>
          <w:color w:val="000000"/>
          <w:position w:val="4"/>
          <w:sz w:val="21"/>
          <w:szCs w:val="21"/>
          <w:vertAlign w:val="superscript"/>
        </w:rPr>
        <w:t xml:space="preserve">b</w:t>
      </w:r>
      <w:r>
        <w:rPr>
          <w:color w:val="000000"/>
          <w:sz w:val="24"/>
          <w:szCs w:val="24"/>
        </w:rPr>
        <w:t xml:space="preserve"> [0.988]). The quotient, which is characteristic for efficiency of delta-6-desaturase enzyme, was higher in the serum triacylglycerol fraction after sensitisation in the knockout mice, than in the two control groups. ((18:3n-6 + 20:3n-6)/18:2n-6) (0.019</w:t>
      </w:r>
      <w:r>
        <w:rPr>
          <w:color w:val="000000"/>
          <w:position w:val="4"/>
          <w:sz w:val="21"/>
          <w:szCs w:val="21"/>
          <w:vertAlign w:val="superscript"/>
        </w:rPr>
        <w:t xml:space="preserve">a</w:t>
      </w:r>
      <w:r>
        <w:rPr>
          <w:color w:val="000000"/>
          <w:sz w:val="24"/>
          <w:szCs w:val="24"/>
        </w:rPr>
        <w:t xml:space="preserve"> [0.003] vs. 0.028 [0.003] vs. 0.025</w:t>
      </w:r>
      <w:r>
        <w:rPr>
          <w:color w:val="000000"/>
          <w:position w:val="4"/>
          <w:sz w:val="21"/>
          <w:szCs w:val="21"/>
          <w:vertAlign w:val="superscript"/>
        </w:rPr>
        <w:t xml:space="preserve">b</w:t>
      </w:r>
      <w:r>
        <w:rPr>
          <w:color w:val="000000"/>
          <w:sz w:val="24"/>
          <w:szCs w:val="24"/>
        </w:rPr>
        <w:t xml:space="preserve"> [0.005] vs. 0.030</w:t>
      </w:r>
      <w:r>
        <w:rPr>
          <w:color w:val="000000"/>
          <w:position w:val="4"/>
          <w:sz w:val="21"/>
          <w:szCs w:val="21"/>
          <w:vertAlign w:val="superscript"/>
        </w:rPr>
        <w:t xml:space="preserve">a,b</w:t>
      </w:r>
      <w:r>
        <w:rPr>
          <w:color w:val="000000"/>
          <w:sz w:val="24"/>
          <w:szCs w:val="24"/>
        </w:rPr>
        <w:t xml:space="preserve"> [0.005]).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Conclusion: Deletion of PARP-1 influenced the synthesis of long chain polyunsaturated n-3 and n-6 fatty acids in our in vivo experiment. These fatty acids are known as precursors of inflammatory mediators, therefore the rearrangement in serum fatty acids may have anti-inflammatory properties.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Grant support: TÁMOP-4.2.2. A-11/1/KONV-2012-0025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25610">
    <w:multiLevelType w:val="hybridMultilevel"/>
    <w:lvl w:ilvl="0" w:tplc="600337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25610">
    <w:abstractNumId w:val="609256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5238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