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TIBOR SCHLEGL</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Than, MD.</w:t>
            </w:r>
          </w:p>
          <w:p w:rsidR="00DB4822" w:rsidRDefault="00DB4822" w:rsidP="00E11062">
            <w:pPr>
              <w:pStyle w:val="Konzulensek"/>
            </w:pPr>
            <w:r w:rsidRPr="00DB4822">
              <w:t>professor (tenured),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3D examination of the lower limb’s axial parameters in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examination and understanding of the lower limb’s anatomical and biomechanical properties is essential to define reference values, to understand the mechanisms of impairment, and to develop adequate therapeutic methods and instruments.</w:t>
      </w:r>
    </w:p>
    <w:p>
      <w:pPr>
        <w:widowControl w:val="on"/>
        <w:pBdr/>
        <w:spacing w:before="240" w:after="240" w:line="240" w:lineRule="auto"/>
        <w:ind w:left="0" w:right="0"/>
        <w:jc w:val="left"/>
      </w:pPr>
      <w:r>
        <w:rPr>
          <w:color w:val="000000"/>
          <w:sz w:val="24"/>
          <w:szCs w:val="24"/>
        </w:rPr>
        <w:t xml:space="preserve">The EOS device is a new method in the field of radiology, which produces 3D reconstruct able, stereo images of the skeleton of a physiologically positioned (standing or sitting) patient with low dose radiation.</w:t>
      </w:r>
    </w:p>
    <w:p>
      <w:pPr>
        <w:widowControl w:val="on"/>
        <w:pBdr/>
        <w:spacing w:before="240" w:after="240" w:line="240" w:lineRule="auto"/>
        <w:ind w:left="0" w:right="0"/>
        <w:jc w:val="left"/>
      </w:pPr>
      <w:r>
        <w:rPr>
          <w:color w:val="000000"/>
          <w:sz w:val="24"/>
          <w:szCs w:val="24"/>
        </w:rPr>
        <w:t xml:space="preserve">The goal of our study is to define the lower limb’s axial parameters in age-divided groups and to determine their sexual characteristics.</w:t>
      </w:r>
    </w:p>
    <w:p>
      <w:pPr>
        <w:widowControl w:val="on"/>
        <w:pBdr/>
        <w:spacing w:before="240" w:after="240" w:line="240" w:lineRule="auto"/>
        <w:ind w:left="0" w:right="0"/>
        <w:jc w:val="left"/>
      </w:pPr>
      <w:r>
        <w:rPr>
          <w:color w:val="000000"/>
          <w:sz w:val="24"/>
          <w:szCs w:val="24"/>
        </w:rPr>
        <w:t xml:space="preserve">METHODS: We have reconstructed 508 child’s (age 4-16 year) lower limb EOS 2D/3D image, while measuring more geometrical parameters. All of the examinations were made with orthopaedic indication to diagnose a disease, but no deformation was found, which could change the biomechanics of the lower limb. We have analysed the items statistically by paired sample t-test, Welch test and regression analysis.</w:t>
      </w:r>
    </w:p>
    <w:p>
      <w:pPr>
        <w:widowControl w:val="on"/>
        <w:pBdr/>
        <w:spacing w:before="240" w:after="240" w:line="240" w:lineRule="auto"/>
        <w:ind w:left="0" w:right="0"/>
        <w:jc w:val="left"/>
      </w:pPr>
      <w:r>
        <w:rPr>
          <w:color w:val="000000"/>
          <w:sz w:val="24"/>
          <w:szCs w:val="24"/>
        </w:rPr>
        <w:t xml:space="preserve">RESULTS: We have found sexual differences in factors influencing the axial parameters in the following cases: The mechanical angle of the femur increases from 92,297° to 93,027° in boys and 92,989° to 93,399° in girls. The tibial mechanical angle is around 88° in boys, and 89° in girls. The mechanical tibiofemoral angle decrease from 1,220° to -1,775° in boys, and 1,030° to 0,289° in girls. The femorotibial rotation increase from -1,350° to 3,361° in boys, and 1,825° to 7,472° in girls.</w:t>
      </w:r>
    </w:p>
    <w:p>
      <w:pPr>
        <w:widowControl w:val="on"/>
        <w:pBdr/>
        <w:spacing w:before="240" w:after="240" w:line="240" w:lineRule="auto"/>
        <w:ind w:left="0" w:right="0"/>
        <w:jc w:val="left"/>
      </w:pPr>
      <w:r>
        <w:rPr>
          <w:color w:val="000000"/>
          <w:sz w:val="24"/>
          <w:szCs w:val="24"/>
        </w:rPr>
        <w:t xml:space="preserve">The HKS (the angle between the anatomical and mechanical axis of the femur) has shown no relation with gender. It’s value increases from 3,946° to 4,444°.</w:t>
      </w:r>
    </w:p>
    <w:p>
      <w:pPr>
        <w:widowControl w:val="on"/>
        <w:pBdr/>
        <w:spacing w:before="240" w:after="240" w:line="240" w:lineRule="auto"/>
        <w:ind w:left="0" w:right="0"/>
        <w:jc w:val="left"/>
      </w:pPr>
      <w:r>
        <w:rPr>
          <w:color w:val="000000"/>
          <w:sz w:val="24"/>
          <w:szCs w:val="24"/>
        </w:rPr>
        <w:t xml:space="preserve">CONCLUSION: We could determine parameters, which have not been defined in this age-group before or just by studies with a limited population or accuracy. We can confirm the characteristics of the lower limb’s age and gender related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55625">
    <w:multiLevelType w:val="hybridMultilevel"/>
    <w:lvl w:ilvl="0" w:tplc="50226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55625">
    <w:abstractNumId w:val="81755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706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