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SZIJJARTO</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Arnold Toth</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Dr. Attila Schwarcz</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vivo investigation of brain trauma related "dark neurons" by MRI T1 mapping in rat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Neurohistological studies have shown that different kind of brain traumas (as mechanical, hypoxic, electronic) may result in the formation of compacted “dark” neurons. These neurons are located mainly in the hippocampi, and are regarded to be able to completely recover.</w:t>
      </w:r>
    </w:p>
    <w:p>
      <w:pPr>
        <w:widowControl w:val="on"/>
        <w:pBdr/>
        <w:spacing w:before="240" w:after="240" w:line="240" w:lineRule="auto"/>
        <w:ind w:left="0" w:right="0"/>
        <w:jc w:val="left"/>
      </w:pPr>
      <w:r>
        <w:rPr>
          <w:color w:val="000000"/>
          <w:sz w:val="24"/>
          <w:szCs w:val="24"/>
        </w:rPr>
        <w:t xml:space="preserve">The aim of our study is to detect these dark neurons by MRI in vivo and document their regenerative ability.</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Sixteen male Wistar rats (300±30g, 8 traumatized, 8 control -sham injured) were enrolled in the study. The animals were gas anaesthetized and incubated during the whole procedure. Vital parameters were monitored and kept at physiological levels by heater and respirator systems. After an initial MR inversion recovery (IR) T1 mapping an electroconvulsive shock was administered to the skull of the animal (Gallyas et al. 2003). During the following 3 hours T1 mapping was performed repeatedly. Six hours later, T1 mapping was again performed.</w:t>
      </w:r>
    </w:p>
    <w:p>
      <w:pPr>
        <w:widowControl w:val="on"/>
        <w:pBdr/>
        <w:spacing w:before="240" w:after="240" w:line="240" w:lineRule="auto"/>
        <w:ind w:left="0" w:right="0"/>
        <w:jc w:val="left"/>
      </w:pPr>
      <w:r>
        <w:rPr>
          <w:color w:val="000000"/>
          <w:sz w:val="24"/>
          <w:szCs w:val="24"/>
        </w:rPr>
        <w:t xml:space="preserve">Quantitative T1 maps were calculated using MATLAB software. The mean T1 times for structures as the hippocampi, cortex, white matter and a neck muscle were described at all acquisition time points using FSL (FMRIB, Oxford) software. T1 times were compared across acquisition time points in the injured and control group as well.</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A significant increase of the mean T1 times of the hippocampi were found in the injured rats (preinjured mean 906 ms, peak at 40 min: mean 928 ms, p&lt;0.01), which returned to normal (pre-injured) levels at 6 hours. No significant changes were observable in other structures or in the control dataset.</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To the best of our knowledge, we demonstrated firstly the possible relation between post-traumatic hippocampal dark neurons and elevated T1 times. Our in vivo results support the theory previously raised by histopathological investigations concerning the regenerative ability of the dark neurons. The detection of dark cells by MRI may mean a new imaging marker having an important role in epilepsy, traumatic and hypoxic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00886">
    <w:multiLevelType w:val="hybridMultilevel"/>
    <w:lvl w:ilvl="0" w:tplc="83881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00886">
    <w:abstractNumId w:val="69200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619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