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SZABINA SZUJÓ</w:t>
            </w:r>
          </w:p>
          <w:p w:rsidR="00C275A3" w:rsidRDefault="00A96AEC" w:rsidP="00C275A3">
            <w:pPr>
              <w:pStyle w:val="Hallgatokepzes"/>
            </w:pPr>
            <w:r>
              <w:t>Faculty of Medicine</w:t>
            </w:r>
            <w:r>
              <w:br/>
            </w:r>
            <w:r w:rsidR="00E77B23">
              <w:t>Unified, 11.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Emese Mezősi Dr.</w:t>
            </w:r>
          </w:p>
          <w:p w:rsidR="00DB4822" w:rsidRDefault="00DB4822" w:rsidP="00E11062">
            <w:pPr>
              <w:pStyle w:val="Konzulensek"/>
            </w:pPr>
            <w:r w:rsidRPr="00DB4822">
              <w:t>associate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care of patients with differentiated thyroid carcinoma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Differentiated Thyroid Cancer (DTC) is characterized by increasing global incidence. In accordance with international guidelines significant changes have happened in recent years regarding the care of patients.</w:t>
      </w:r>
    </w:p>
    <w:p>
      <w:pPr>
        <w:widowControl w:val="on"/>
        <w:pBdr/>
        <w:spacing w:before="240" w:after="240" w:line="240" w:lineRule="auto"/>
        <w:ind w:left="0" w:right="0"/>
        <w:jc w:val="left"/>
      </w:pPr>
      <w:r>
        <w:rPr>
          <w:color w:val="000000"/>
          <w:sz w:val="24"/>
          <w:szCs w:val="24"/>
        </w:rPr>
        <w:t xml:space="preserve">Methods: In our study we analyzed retrospectively 275 patients suffering in DTC, treated between January 2005 and June 2012 at the 1st Department of Internal Medicine. Our aim was to assess how have the healing and survival chances of patients changed due to the implementation of new guidelines. Female / male ratio was 223 / 52. The mean age of patients in the time of the diagnosis was 45.6 ± 16 years (15-83 years) while the average tracking time calculated from the diagnosis was 6.1 ± 5.2 years (1-38 years). The statistical analysis has been performed in the 2007 version of Microsoft® Office Excel®.</w:t>
      </w:r>
    </w:p>
    <w:p>
      <w:pPr>
        <w:widowControl w:val="on"/>
        <w:pBdr/>
        <w:spacing w:before="240" w:after="240" w:line="240" w:lineRule="auto"/>
        <w:ind w:left="0" w:right="0"/>
        <w:jc w:val="left"/>
      </w:pPr>
      <w:r>
        <w:rPr>
          <w:color w:val="000000"/>
          <w:sz w:val="24"/>
          <w:szCs w:val="24"/>
        </w:rPr>
        <w:t xml:space="preserve">Results: Based on the incidence ratio of papillary (PTC) and follicular (FTC) carcinomas (78 / 22%), the region continues to be considered moderately iodine deficient. The patients suffering in PTC were significantly younger than their associates suffering in FTC and have been recognized at earlier tumor stage. In case of PTC, lymph node metastasis was found in 36%, distant metastasis in 5%, while in case of FTC, this ratio was 6% (N1) and 22% (M1).</w:t>
      </w:r>
      <w:r>
        <w:rPr>
          <w:color w:val="000000"/>
          <w:sz w:val="24"/>
          <w:szCs w:val="24"/>
        </w:rPr>
        <w:br/>
        <w:t xml:space="preserve">In spite of the malignus cytological findings the thyroid surgery was often made ​​in two steps, so that 474 operations were done on 275 patients. After the surgery, high-dose radioiodine treatment has been carried out routinely all in all in 400 times. External radiation therapy was implemented in 13% in case of FTC and in 6% in case of PTC. In case of all patients the aim was to reach TSH suppression. In 2012, 72% of patients suffering in FTC was tumor-free, 10% of them had stable residual disease, in 11% the disease is currently showing progression, while 7% of our patients died. 89% of patients suffering in PTC was tumor-free, 7% of them had stable residual disease, in 3% the progression of the disease can be observed, while 2 patients died.</w:t>
      </w:r>
    </w:p>
    <w:p>
      <w:pPr>
        <w:widowControl w:val="on"/>
        <w:pBdr/>
        <w:spacing w:before="240" w:after="240" w:line="240" w:lineRule="auto"/>
        <w:ind w:left="0" w:right="0"/>
        <w:jc w:val="left"/>
      </w:pPr>
      <w:r>
        <w:rPr>
          <w:color w:val="000000"/>
          <w:sz w:val="24"/>
          <w:szCs w:val="24"/>
        </w:rPr>
        <w:t xml:space="preserve">Conclusion: In summary, with the current complex treatment in PTC a very good result could have been achieved, while in FTC the prognosis of diseases at advanced stage was significantly worse.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07270">
    <w:multiLevelType w:val="hybridMultilevel"/>
    <w:lvl w:ilvl="0" w:tplc="356654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07270">
    <w:abstractNumId w:val="798072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43670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