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FÜREDI NÓRA</w:t>
            </w:r>
          </w:p>
          <w:p w:rsidR="00C275A3" w:rsidRDefault="00A96AEC" w:rsidP="00C275A3">
            <w:pPr>
              <w:pStyle w:val="Hallgatokepzes"/>
            </w:pPr>
            <w:r>
              <w:t>Orvosi Biotechnológia</w:t>
            </w:r>
            <w:r>
              <w:br/>
            </w:r>
            <w:r w:rsidR="00E77B23">
              <w:t>MSc, 4. félév</w:t>
            </w:r>
          </w:p>
          <w:p w:rsidR="00C265CE" w:rsidRPr="009E5FF1" w:rsidRDefault="00E77B23" w:rsidP="00C275A3">
            <w:pPr>
              <w:pStyle w:val="Hallgatokepzes"/>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MIKÓ ALEXANDRA</w:t>
            </w:r>
          </w:p>
          <w:p w:rsidR="00DB4822" w:rsidRDefault="00C275A3" w:rsidP="004D7940">
            <w:pPr>
              <w:pStyle w:val="Hallgatokepzes"/>
            </w:pPr>
            <w:r>
              <w:t>Általános Orvos Szak</w:t>
            </w:r>
            <w:r w:rsidR="00A96AEC">
              <w:br/>
              <w:t>Osztatlan, 12. félév</w:t>
            </w:r>
          </w:p>
          <w:p w:rsidR="00DB4822" w:rsidRDefault="00DB4822" w:rsidP="004D7940">
            <w:pPr>
              <w:pStyle w:val="Hallgatointezmeny-kar"/>
            </w:pPr>
            <w:r>
              <w:t>Pécsi Tudományegyetem</w:t>
            </w:r>
          </w:p>
          <w:p w:rsidR="00C265CE" w:rsidRPr="009E5FF1" w:rsidRDefault="00DB4822" w:rsidP="004D7940">
            <w:pPr>
              <w:pStyle w:val="Hallgatointezmeny-kar"/>
              <w:rPr>
                <w:b/>
                <w:caps/>
              </w:rPr>
            </w:pPr>
            <w:r>
              <w:t>Általános Orvostudományi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TENK JUDIT</w:t>
            </w:r>
          </w:p>
          <w:p w:rsidR="00C275A3" w:rsidRDefault="00A96AEC" w:rsidP="00C275A3">
            <w:pPr>
              <w:pStyle w:val="Hallgatokepzes"/>
            </w:pPr>
            <w:r>
              <w:t>Általános Orvos Szak</w:t>
            </w:r>
            <w:r>
              <w:br/>
            </w:r>
            <w:r w:rsidR="00E77B23">
              <w:t>Osztatlan, 12. félév</w:t>
            </w:r>
          </w:p>
          <w:p w:rsidR="00C265CE" w:rsidRPr="009E5FF1" w:rsidRDefault="00E77B23" w:rsidP="00C275A3">
            <w:pPr>
              <w:pStyle w:val="Hallgatokepzes"/>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Balaskó Márta</w:t>
            </w:r>
          </w:p>
          <w:p w:rsidR="00DB4822" w:rsidRDefault="00DB4822" w:rsidP="00E11062">
            <w:pPr>
              <w:pStyle w:val="Konzulensek"/>
            </w:pPr>
            <w:r w:rsidRPr="00DB4822">
              <w:t>habilitált egyetemi adjunktus,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Korfüggő eltérések a corticotropin-releasing factor (CRF) akut centrális energetikai hatásaiban.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hosszútávú testtömeg-szabályozás két fő trendet mutat: a középkorúak elhízásra, az idősek cachexiára hajlamosak. A háttérben katabolikus [anorexigén, táplálékfelvétel (FI) csökkentő, anyagcsere (MR) fokozó] és anabolikus (FI-növelő, MR-csökkentő) peptid-rendszerek komplex korfüggő eltérései feltételezhetőek. Egyik fő katabolikus mediátorunk a corticotropin-releasing factor (CRF). Korábbi kísérleteinkben patkány lateralis agykamrába adott (ICV) CRF infúzió hatásai életkorfüggő eltéréseket mutattak: anorexigén hatás főleg az öreg, hipermetabolikus hatás mind fiatal, mind öreg patkányokban érvényesült. A középkorúak nem mutattak katabolikus válaszkészséget. Hasonló korfüggő minta figyelhető meg akut centrális melanokortin agonista, ill. akut perifériás cholecystokinin (CCK) alkalmazása során. Más katabolikus hatásokra (pl. ICV CCK injekció) a válaszkészség korral csökken.</w:t>
      </w:r>
    </w:p>
    <w:p>
      <w:pPr>
        <w:widowControl w:val="on"/>
        <w:pBdr/>
        <w:spacing w:before="240" w:after="240" w:line="240" w:lineRule="auto"/>
        <w:ind w:left="0" w:right="0"/>
        <w:jc w:val="left"/>
      </w:pPr>
      <w:r>
        <w:rPr>
          <w:color w:val="000000"/>
          <w:sz w:val="24"/>
          <w:szCs w:val="24"/>
        </w:rPr>
        <w:br/>
        <w:t xml:space="preserve">Módszerek: Feltételeztük, hogy akut centrális CRF injekcióra adott anorexigén, ill. hipermetabolikus válaszkészség az öregedéssel eltérő módon változik. Fiatal felnőtt, fiatal és idősebb középkorú, öregedő és öreg (rendre 3, 6 és 12, 18 és 14 hónapos) hím és nőstény Wistar patkányok akut ICV CRF (0,3 ug) injekcióra adott energetikai válaszkészségét vizsgáltuk. Az anorexigén hatást 24 órás éhezést követő 120 perces újratáplálás során automatizált FeedScale rendszerben teszeltük. Az oxigénfogyasztást (MR) indirekt kaloriméterben (Oxymax) vizsgáltuk. A maghőmérséklet (Tc) colonba vezetett, a hőleadást a farokbőr felszínére rögzített termoelemekkel regisztráltuk. Statisztikai elemzésre repeated-measures ANOVA-t alkalmaztunk.</w:t>
      </w:r>
    </w:p>
    <w:p>
      <w:pPr>
        <w:widowControl w:val="on"/>
        <w:pBdr/>
        <w:spacing w:before="240" w:after="240" w:line="240" w:lineRule="auto"/>
        <w:ind w:left="0" w:right="0"/>
        <w:jc w:val="left"/>
      </w:pPr>
      <w:r>
        <w:rPr>
          <w:color w:val="000000"/>
          <w:sz w:val="24"/>
          <w:szCs w:val="24"/>
        </w:rPr>
        <w:br/>
        <w:t xml:space="preserve">Eredmények: Akut ICV CRF injekció csökkentette az FI-t, fokozta az MR-t és a Tc-t. Hímekben mind az anorexigén, mind a hipertermiás hatás csökkent az életkorral. A nőstények minden korcsoportban szignifikáns anorexigén válaszkészséget mutattak.</w:t>
      </w:r>
    </w:p>
    <w:p>
      <w:pPr>
        <w:widowControl w:val="on"/>
        <w:pBdr/>
        <w:spacing w:before="240" w:after="240" w:line="240" w:lineRule="auto"/>
        <w:ind w:left="0" w:right="0"/>
        <w:jc w:val="left"/>
      </w:pPr>
      <w:r>
        <w:rPr>
          <w:color w:val="000000"/>
          <w:sz w:val="24"/>
          <w:szCs w:val="24"/>
        </w:rPr>
        <w:br/>
        <w:t xml:space="preserve">Következtetés: Hím patkányokban a centrális CRF válaszkészség korfüggő változásai a centrális CCK injekcióéhoz hasonlóak. A nemi különbségek hátterében testtömeg/testösszetétel eltérések, ill. endokrin faktorok (főként anorexigén ösztrogén- hatások) állhatnak.</w:t>
      </w:r>
    </w:p>
    <w:p>
      <w:pPr>
        <w:widowControl w:val="on"/>
        <w:pBdr/>
        <w:spacing w:before="240" w:after="240" w:line="240" w:lineRule="auto"/>
        <w:ind w:left="0" w:right="0"/>
        <w:jc w:val="left"/>
      </w:pPr>
      <w:r>
        <w:rPr>
          <w:color w:val="000000"/>
          <w:sz w:val="24"/>
          <w:szCs w:val="24"/>
        </w:rPr>
        <w:br/>
        <w:t xml:space="preserve">Támogatók: TÁMOP-4.2.3.-12/KONV, 34039/KA-OTKA/13-02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08287">
    <w:multiLevelType w:val="hybridMultilevel"/>
    <w:lvl w:ilvl="0" w:tplc="33846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08287">
    <w:abstractNumId w:val="920082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36337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