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FÜREDI</w:t>
            </w:r>
          </w:p>
          <w:p w:rsidR="00C275A3" w:rsidRDefault="00A96AEC" w:rsidP="00C275A3">
            <w:pPr>
              <w:pStyle w:val="Hallgatokepzes"/>
            </w:pPr>
            <w:r>
              <w:t>Medical Biotechnology</w:t>
            </w:r>
            <w:r>
              <w:br/>
            </w:r>
            <w:r w:rsidR="00E77B23">
              <w:t>MSc, 4.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ALEXANDRA MIKÓ</w:t>
            </w:r>
          </w:p>
          <w:p w:rsidR="00DB4822" w:rsidRDefault="00C275A3" w:rsidP="004D7940">
            <w:pPr>
              <w:pStyle w:val="Hallgatokepzes"/>
            </w:pPr>
            <w:r>
              <w:t>General Medicine Major</w:t>
            </w:r>
            <w:r w:rsidR="00A96AEC">
              <w:br/>
              <w:t>Unified, 12.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TENK</w:t>
            </w:r>
          </w:p>
          <w:p w:rsidR="00C275A3" w:rsidRDefault="00A96AEC" w:rsidP="00C275A3">
            <w:pPr>
              <w:pStyle w:val="Hallgatokepzes"/>
            </w:pPr>
            <w:r>
              <w:t>General Medicine Major</w:t>
            </w:r>
            <w:r>
              <w:br/>
            </w:r>
            <w:r w:rsidR="00E77B23">
              <w:t>Unified, 12.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Mátra Balaskó M.D. Ph.D.</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Age-related shifts in acute central corticotropin effects on energy homeostasis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In the background of age-related obesity and the cachexia of aging complex age-related alterations in the catabolic [anorexigenic, food intake (FI) reducing, metabolic rate (MR) enhancing] and anabolic (FI enhancing, MR- reducing) peptide systems are assumed. Corticotropin-releasing factor (CRF) is an important central catabolic mediator. Our previous studies revealed age-related shifts in the responsiveness to intracerebroventricular (ICV) CRF infusion in rats: anorexigenic effects were especially pronounced in the oldest, hypermetabolic response was detected in the youngest and oldest rats. Middle-aged rats did not show catabolic responsiveness to CRF. Responsiveness to acute central melanocortin agonist- and acute periferial cholecystokinin (CCK) administration on energy homeostasis show similar age-related patterns. Other catabolic effects (e.g. those of ICV CCK injection) continuously decrease with aging.</w:t>
      </w:r>
    </w:p>
    <w:p>
      <w:pPr>
        <w:widowControl w:val="on"/>
        <w:pBdr/>
        <w:spacing w:before="240" w:after="240" w:line="240" w:lineRule="auto"/>
        <w:ind w:left="0" w:right="0"/>
        <w:jc w:val="left"/>
      </w:pPr>
      <w:r>
        <w:rPr>
          <w:color w:val="000000"/>
          <w:sz w:val="24"/>
          <w:szCs w:val="24"/>
        </w:rPr>
        <w:br/>
        <w:t xml:space="preserve">Methods: We hypothesized that anorexigenic and hypermetabolic responsiveness to acute CRF administration change with different dynamics during aging. Responsiveness of young adult, younger and older middle-aged, aging and old (aged 3, 6 and 12, 18 and 14 months, respectively) male and female Wistar rats to acute ICV CRF injection (0.3 ug) was analyzed regarding parameters of energy balance. Anorexigenic effects were tested in an automated FeedScale system during 120-min re-feeding following 24-h fasting. Oxygen consumption (MR) was measured by indirect calorimetry (Oxymax). Colon (Tc) and tail skin temperature (Ts, indicating heat loss) were recorded by thermocouples. For statistical analysis of the data repeated-measures ANOVA was used.</w:t>
      </w:r>
    </w:p>
    <w:p>
      <w:pPr>
        <w:widowControl w:val="on"/>
        <w:pBdr/>
        <w:spacing w:before="240" w:after="240" w:line="240" w:lineRule="auto"/>
        <w:ind w:left="0" w:right="0"/>
        <w:jc w:val="left"/>
      </w:pPr>
      <w:r>
        <w:rPr>
          <w:color w:val="000000"/>
          <w:sz w:val="24"/>
          <w:szCs w:val="24"/>
        </w:rPr>
        <w:br/>
        <w:t xml:space="preserve">Results: Acute CRF injection suppressed FI and increased MR and Tc. In males both anorexigenic and hypermetabolic effects declined with aging. Females showed significant anorexigenic responsiveness in all age-groups.</w:t>
      </w:r>
    </w:p>
    <w:p>
      <w:pPr>
        <w:widowControl w:val="on"/>
        <w:pBdr/>
        <w:spacing w:before="240" w:after="240" w:line="240" w:lineRule="auto"/>
        <w:ind w:left="0" w:right="0"/>
        <w:jc w:val="left"/>
      </w:pPr>
      <w:r>
        <w:rPr>
          <w:color w:val="000000"/>
          <w:sz w:val="24"/>
          <w:szCs w:val="24"/>
        </w:rPr>
        <w:br/>
        <w:t xml:space="preserve">Conclusion: Age-related alterations in the responsiveness of male rats to central ICV CRF were similar to those of ICV CCK injections. In the background of gender differences variations in body weight/body composition and endocrine factors (e.g. anorexigenic estrogen effects) may be assumed.</w:t>
      </w:r>
    </w:p>
    <w:p>
      <w:pPr>
        <w:widowControl w:val="on"/>
        <w:pBdr/>
        <w:spacing w:before="240" w:after="240" w:line="240" w:lineRule="auto"/>
        <w:ind w:left="0" w:right="0"/>
        <w:jc w:val="left"/>
      </w:pPr>
      <w:r>
        <w:rPr>
          <w:color w:val="000000"/>
          <w:sz w:val="24"/>
          <w:szCs w:val="24"/>
        </w:rPr>
        <w:br/>
        <w:t xml:space="preserve">Grant support: TÁMOP-4.2.3.-12/KONV, 34039/KA-OTKA/13-02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81211">
    <w:multiLevelType w:val="hybridMultilevel"/>
    <w:lvl w:ilvl="0" w:tplc="75502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81211">
    <w:abstractNumId w:val="57281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503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