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ZOÁRD BÁTAI</w:t>
            </w:r>
          </w:p>
          <w:p w:rsidR="00C275A3" w:rsidRDefault="00A96AEC" w:rsidP="00C275A3">
            <w:pPr>
              <w:pStyle w:val="Hallgatokepzes"/>
            </w:pPr>
            <w:r>
              <w:t>general medicine</w:t>
            </w:r>
            <w:r>
              <w:br/>
            </w:r>
            <w:r w:rsidR="00E77B23">
              <w:t>Unified, 9.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ORSOLYA TÖRÖK</w:t>
            </w:r>
          </w:p>
          <w:p w:rsidR="00DB4822" w:rsidRDefault="00C275A3" w:rsidP="004D7940">
            <w:pPr>
              <w:pStyle w:val="Hallgatokepzes"/>
            </w:pPr>
            <w:r>
              <w:t>general medicine</w:t>
            </w:r>
            <w:r w:rsidR="00A96AEC">
              <w:br/>
              <w:t>Unified, 9.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Medical School</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MD Ákos Koller PhD</w:t>
            </w:r>
          </w:p>
          <w:p w:rsidR="00DB4822" w:rsidRDefault="00DB4822" w:rsidP="00E11062">
            <w:pPr>
              <w:pStyle w:val="Konzulensek"/>
            </w:pPr>
            <w:r w:rsidRPr="00DB4822">
              <w:t>professor,  UP-MS;
Department of Physiology, New York Medical College, Valhalla, NY, USA;
University of Pécs, Szentágothai Research Centre</w:t>
            </w:r>
          </w:p>
        </w:tc>
      </w:tr>
      <w:tr w:rsidR="00DB4822" w:rsidTr="00DB4822">
        <w:tc>
          <w:tcPr>
            <w:tcW w:w="9854" w:type="dxa"/>
          </w:tcPr>
          <w:p w:rsidR="00DB4822" w:rsidRPr="00DB4822" w:rsidRDefault="00DB4822" w:rsidP="004D7940">
            <w:pPr>
              <w:pStyle w:val="Konzulensek"/>
            </w:pPr>
            <w:r w:rsidRPr="00DB4822">
              <w:t>Péter Cséplő PhD</w:t>
            </w:r>
          </w:p>
          <w:p w:rsidR="00DB4822" w:rsidRDefault="00DB4822" w:rsidP="00E11062">
            <w:pPr>
              <w:pStyle w:val="Konzulensek"/>
            </w:pPr>
            <w:r w:rsidRPr="00DB4822">
              <w:t>professor's assistant,  UP-MS;
Hungarian National Ambulance Service, South-Danubian Region;
University of Pécs, Szentágothai Research Centre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the intracellular calcium-ion in the developement of the hemolysed-blood induced cerebrovascular constriction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Clinical and experimental studies reported that acute subarachnoid hemorrhage due to stroke or neurotrauma is followed by an early and delayed type of vasospasm, which induces severe damage in the regional cerebral blood flow. Earlier experiments revealed that purified haemoglobin induces vasoconstriction on cerebral vessels, which is explained by its nitric oxide (NO) scavenging effect. However, the vasoconstrictor effects of hemolysed blood (HB) have not been characterized yet. We hypothesized that perivascular hemolysed blood reduces the diameter of the cerebral vessels via elevating [Ca2+]i level.</w:t>
      </w:r>
    </w:p>
    <w:p>
      <w:pPr>
        <w:widowControl w:val="on"/>
        <w:pBdr/>
        <w:spacing w:before="240" w:after="240" w:line="240" w:lineRule="auto"/>
        <w:ind w:left="0" w:right="0"/>
        <w:jc w:val="left"/>
      </w:pPr>
      <w:r>
        <w:rPr>
          <w:color w:val="000000"/>
          <w:sz w:val="24"/>
          <w:szCs w:val="24"/>
        </w:rPr>
        <w:t xml:space="preserve">Methods: Basilar arteries (BA) were isolated from male Wistar-rats, cannulated at both ends and mounted into pressure-flow myograph chamber in the presence of zero flow and 80 mmHg intraluminal pressure. Vessels were incubated in physiological Krebs-solution until their active diameter (AD) developed. The vessels’ diameter were measured by video-microscopy. The effect of extravasated blood was modeled by adding HB directly to the chamber. The change of intracellular Ca2+-ion concentration was measured with ratiometric calcium-measurement at the wavelength of 340 and 380 nms using fura-2 AM fluorescence dyes.</w:t>
      </w:r>
    </w:p>
    <w:p>
      <w:pPr>
        <w:widowControl w:val="on"/>
        <w:pBdr/>
        <w:spacing w:before="240" w:after="240" w:line="240" w:lineRule="auto"/>
        <w:ind w:left="0" w:right="0"/>
        <w:jc w:val="left"/>
      </w:pPr>
      <w:r>
        <w:rPr>
          <w:color w:val="000000"/>
          <w:sz w:val="24"/>
          <w:szCs w:val="24"/>
        </w:rPr>
        <w:t xml:space="preserve">Results: The AD of the BA was 278±12µm, while the passive diameter was 392±8µm. 200 µl HB reduced the diameter significantly (164±11µm, 59±4 AD%). Before the addition of HB nifedipine induced significant dilatation (32±3 AD%). Addition of HB did not change the dilatation caused by nifedipine (28±3 AD%). Before the addition of HB the ratio of 340/380 nm was 1,118±0,043, while addition of 100 µl HB elevated this ratio to 1,352±0,019 (∆ratio=0,154±0,013), and 200 µl HB to 1,397±0,016 (∆ratio=0,211±0,022). After washout the ratio reached the control level (1,076±0,069).</w:t>
      </w:r>
    </w:p>
    <w:p>
      <w:pPr>
        <w:widowControl w:val="on"/>
        <w:pBdr/>
        <w:spacing w:before="240" w:after="240" w:line="240" w:lineRule="auto"/>
        <w:ind w:left="0" w:right="0"/>
        <w:jc w:val="left"/>
      </w:pPr>
      <w:r>
        <w:rPr>
          <w:color w:val="000000"/>
          <w:sz w:val="24"/>
          <w:szCs w:val="24"/>
        </w:rPr>
        <w:t xml:space="preserve">Conclusion: Our results show that hemolysed blood elicits significant constriction in isolated basilar arteries, which can be explained by the elevation of intracellular Ca2+-ion concentration. Our results can contribute to the description of the pathophysiology of subarachnoid hemorrhage, to the refinement of the treatment and to the better prognosis of patients with subarachnoid hemorrhage.</w:t>
      </w:r>
    </w:p>
    <w:p>
      <w:pPr>
        <w:widowControl w:val="on"/>
        <w:pBdr/>
        <w:spacing w:before="240" w:after="240" w:line="240" w:lineRule="auto"/>
        <w:ind w:left="0" w:right="0"/>
        <w:jc w:val="left"/>
      </w:pPr>
      <w:r>
        <w:rPr>
          <w:color w:val="000000"/>
          <w:sz w:val="24"/>
          <w:szCs w:val="24"/>
        </w:rPr>
        <w:t xml:space="preserve">Grant support: TÁMOP-4.2.4.A/2-11-1-2012-0001; 4.2.2.A-11/1/KONV-2012-0024; 4.2.2.A-11/1/KONV-2012-0017; OTKA K-71591</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311945">
    <w:multiLevelType w:val="hybridMultilevel"/>
    <w:lvl w:ilvl="0" w:tplc="624697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311945">
    <w:abstractNumId w:val="783119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37970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