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UGOR</w:t>
            </w:r>
          </w:p>
          <w:p w:rsidR="00C275A3" w:rsidRDefault="00A96AEC" w:rsidP="00C275A3">
            <w:pPr>
              <w:pStyle w:val="Hallgatokepzes"/>
            </w:pPr>
            <w:r>
              <w:t>Medical Faculty</w:t>
            </w:r>
            <w:r>
              <w:br/>
            </w:r>
            <w:r w:rsidR="00E77B23">
              <w:t>Unified, 9.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Tímea Berki MD</w:t>
            </w:r>
          </w:p>
          <w:p w:rsidR="00DB4822" w:rsidRDefault="00DB4822" w:rsidP="00E11062">
            <w:pPr>
              <w:pStyle w:val="Konzulensek"/>
            </w:pPr>
            <w:r w:rsidRPr="00DB4822">
              <w:t>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glucocorticoid treatment on natural and induced regulatory T cells in mouse model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Regulatory T cells (Treg) and glucocorticoids (GC) are key players of the regulation of immune response and peripheral tolerance. GC-analogues (for example Dexamethason – DX) are widely used to treat different diseases because of their antiinflammatory and immunosuppressieve activity, and ability to induce lymphocyte apoptosis. Despite the long-established medical use of GC-analogues, the mechanism of GC action on Tregs, is still incompletely understood. The goal of this work was to determine the ratio of suppressor Treg cells in peripheral and central lymphatic organs, to investigate the effect of GC treatment on Treg cell composition and to follow the alteration of their glucocorticoid receptor (GCR) expression.</w:t>
      </w:r>
      <w:r>
        <w:rPr>
          <w:color w:val="000000"/>
          <w:sz w:val="24"/>
          <w:szCs w:val="24"/>
        </w:rPr>
        <w:br/>
        <w:t xml:space="preserve">Methods: We treated 4-6 weeks old Balb/c mice with 20 mg/kg DX intraperitoneally. After 1-4 days we isolated cells from the thymus, mesenteric and peripheral lymph nodes, spleen and Peyer’s patches. The cells were stained with cell surface (anti-CD4; anti-CD25) and intracellular (anti-FoxP3; anti-Helios; anti-GCR) antibodies. We determined the natural (CD4</w:t>
      </w:r>
      <w:r>
        <w:rPr>
          <w:color w:val="000000"/>
          <w:position w:val="4"/>
          <w:sz w:val="21"/>
          <w:szCs w:val="21"/>
          <w:vertAlign w:val="superscript"/>
        </w:rPr>
        <w:t xml:space="preserve">+</w:t>
      </w:r>
      <w:r>
        <w:rPr>
          <w:color w:val="000000"/>
          <w:sz w:val="24"/>
          <w:szCs w:val="24"/>
        </w:rPr>
        <w:t xml:space="preserve">CD25</w:t>
      </w:r>
      <w:r>
        <w:rPr>
          <w:color w:val="000000"/>
          <w:position w:val="4"/>
          <w:sz w:val="21"/>
          <w:szCs w:val="21"/>
          <w:vertAlign w:val="superscript"/>
        </w:rPr>
        <w:t xml:space="preserve">+</w:t>
      </w:r>
      <w:r>
        <w:rPr>
          <w:color w:val="000000"/>
          <w:sz w:val="24"/>
          <w:szCs w:val="24"/>
        </w:rPr>
        <w:t xml:space="preserve">FoxP3</w:t>
      </w:r>
      <w:r>
        <w:rPr>
          <w:color w:val="000000"/>
          <w:position w:val="4"/>
          <w:sz w:val="21"/>
          <w:szCs w:val="21"/>
          <w:vertAlign w:val="superscript"/>
        </w:rPr>
        <w:t xml:space="preserve">+</w:t>
      </w:r>
      <w:r>
        <w:rPr>
          <w:color w:val="000000"/>
          <w:sz w:val="24"/>
          <w:szCs w:val="24"/>
        </w:rPr>
        <w:t xml:space="preserve">Helios</w:t>
      </w:r>
      <w:r>
        <w:rPr>
          <w:color w:val="000000"/>
          <w:position w:val="4"/>
          <w:sz w:val="21"/>
          <w:szCs w:val="21"/>
          <w:vertAlign w:val="superscript"/>
        </w:rPr>
        <w:t xml:space="preserve">+</w:t>
      </w:r>
      <w:r>
        <w:rPr>
          <w:color w:val="000000"/>
          <w:sz w:val="24"/>
          <w:szCs w:val="24"/>
        </w:rPr>
        <w:t xml:space="preserve">) and induced (CD4</w:t>
      </w:r>
      <w:r>
        <w:rPr>
          <w:color w:val="000000"/>
          <w:position w:val="4"/>
          <w:sz w:val="21"/>
          <w:szCs w:val="21"/>
          <w:vertAlign w:val="superscript"/>
        </w:rPr>
        <w:t xml:space="preserve">+</w:t>
      </w:r>
      <w:r>
        <w:rPr>
          <w:color w:val="000000"/>
          <w:sz w:val="24"/>
          <w:szCs w:val="24"/>
        </w:rPr>
        <w:t xml:space="preserve">CD25</w:t>
      </w:r>
      <w:r>
        <w:rPr>
          <w:color w:val="000000"/>
          <w:position w:val="4"/>
          <w:sz w:val="21"/>
          <w:szCs w:val="21"/>
          <w:vertAlign w:val="superscript"/>
        </w:rPr>
        <w:t xml:space="preserve">+</w:t>
      </w:r>
      <w:r>
        <w:rPr>
          <w:color w:val="000000"/>
          <w:sz w:val="24"/>
          <w:szCs w:val="24"/>
        </w:rPr>
        <w:t xml:space="preserve">FoxP3</w:t>
      </w:r>
      <w:r>
        <w:rPr>
          <w:color w:val="000000"/>
          <w:position w:val="4"/>
          <w:sz w:val="21"/>
          <w:szCs w:val="21"/>
          <w:vertAlign w:val="superscript"/>
        </w:rPr>
        <w:t xml:space="preserve">+</w:t>
      </w:r>
      <w:r>
        <w:rPr>
          <w:color w:val="000000"/>
          <w:sz w:val="24"/>
          <w:szCs w:val="24"/>
        </w:rPr>
        <w:t xml:space="preserve">Helios</w:t>
      </w:r>
      <w:r>
        <w:rPr>
          <w:color w:val="000000"/>
          <w:position w:val="4"/>
          <w:sz w:val="21"/>
          <w:szCs w:val="21"/>
          <w:vertAlign w:val="superscript"/>
        </w:rPr>
        <w:t xml:space="preserve">-</w:t>
      </w:r>
      <w:r>
        <w:rPr>
          <w:color w:val="000000"/>
          <w:sz w:val="24"/>
          <w:szCs w:val="24"/>
        </w:rPr>
        <w:t xml:space="preserve">) Treg cells by flow cytometry.</w:t>
      </w:r>
      <w:r>
        <w:rPr>
          <w:color w:val="000000"/>
          <w:sz w:val="24"/>
          <w:szCs w:val="24"/>
        </w:rPr>
        <w:br/>
        <w:t xml:space="preserve">Results: The ratio of the Treg cells in the thymus of untreated mice was the lowest, but after treatment we observed significant increase (p&lt;0,01) without changing the numbers of Treg cell. We also found GCR upregulation. This can be explained with the apoptosis of double positive cells, which have the lowest GCR expression and are the most sensitive cell population to GC treatment. We found the highest natural Treg (nTreg) ratio among all Treg cells (CD4</w:t>
      </w:r>
      <w:r>
        <w:rPr>
          <w:color w:val="000000"/>
          <w:position w:val="4"/>
          <w:sz w:val="21"/>
          <w:szCs w:val="21"/>
          <w:vertAlign w:val="superscript"/>
        </w:rPr>
        <w:t xml:space="preserve">+</w:t>
      </w:r>
      <w:r>
        <w:rPr>
          <w:color w:val="000000"/>
          <w:sz w:val="24"/>
          <w:szCs w:val="24"/>
        </w:rPr>
        <w:t xml:space="preserve">CD25</w:t>
      </w:r>
      <w:r>
        <w:rPr>
          <w:color w:val="000000"/>
          <w:position w:val="4"/>
          <w:sz w:val="21"/>
          <w:szCs w:val="21"/>
          <w:vertAlign w:val="superscript"/>
        </w:rPr>
        <w:t xml:space="preserve">+</w:t>
      </w:r>
      <w:r>
        <w:rPr>
          <w:color w:val="000000"/>
          <w:sz w:val="24"/>
          <w:szCs w:val="24"/>
        </w:rPr>
        <w:t xml:space="preserve">FoxP3</w:t>
      </w:r>
      <w:r>
        <w:rPr>
          <w:color w:val="000000"/>
          <w:position w:val="4"/>
          <w:sz w:val="21"/>
          <w:szCs w:val="21"/>
          <w:vertAlign w:val="superscript"/>
        </w:rPr>
        <w:t xml:space="preserve">+</w:t>
      </w:r>
      <w:r>
        <w:rPr>
          <w:color w:val="000000"/>
          <w:sz w:val="24"/>
          <w:szCs w:val="24"/>
        </w:rPr>
        <w:t xml:space="preserve">) in the thymus, and it showed further increase due to the treatment. In the peripheral lymphatic organs the total Treg cell ratio is much higher, with a lower nTreg ratio then in the thymus. After treatment, these ratios are constant, and we found GCR downregulation.</w:t>
      </w:r>
      <w:r>
        <w:rPr>
          <w:color w:val="000000"/>
          <w:sz w:val="24"/>
          <w:szCs w:val="24"/>
        </w:rPr>
        <w:br/>
        <w:t xml:space="preserve">Conclusion: Based on our experiments, we suggest that nTreg cells are resistant to GC treatment induced apoptosis. In peripheral lymphatic organs beside nTreg cells iTreg cells are also presented, and they presumably respond otherwise to steroid exposition.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944578">
    <w:multiLevelType w:val="hybridMultilevel"/>
    <w:lvl w:ilvl="0" w:tplc="550406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944578">
    <w:abstractNumId w:val="179445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83427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