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BARKÓCZY RÓBERT JÁNOS</w:t>
            </w:r>
          </w:p>
          <w:p w:rsidR="00C275A3" w:rsidRDefault="00A96AEC" w:rsidP="00C275A3">
            <w:pPr>
              <w:pStyle w:val="Hallgatokepzes"/>
            </w:pPr>
            <w:r>
              <w:t>Gyógyszerész</w:t>
            </w:r>
            <w:r>
              <w:br/>
            </w:r>
            <w:r w:rsidR="00E77B23">
              <w:t>Osztatlan, 7.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SZABÓ ÁGNES</w:t>
            </w:r>
          </w:p>
          <w:p w:rsidR="00DB4822" w:rsidRDefault="00C275A3" w:rsidP="004D7940">
            <w:pPr>
              <w:pStyle w:val="Hallgatokepzes"/>
            </w:pPr>
            <w:r>
              <w:t>Gyógyszerész</w:t>
            </w:r>
            <w:r w:rsidR="00A96AEC">
              <w:br/>
              <w:t>Osztatlan, 7.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Kerényi Mónika</w:t>
            </w:r>
          </w:p>
          <w:p w:rsidR="00DB4822" w:rsidRDefault="00DB4822" w:rsidP="00E11062">
            <w:pPr>
              <w:pStyle w:val="Konzulensek"/>
            </w:pPr>
            <w:r w:rsidRPr="00DB4822">
              <w:t>egyetemi docens,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 antibiotikus gyógyszerek antimikróbás hatásának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intenzív osztályon lévő betegek kezelésében szükség lehet különböző hatásmechanizmusú gyógyszerek együttes alkalmazására az akut és krónikus betegségek, infekciók terápiájában, a fájdalom csökkentésében, a beteg szedálásában. A különböző gyógyszerek egymásra hatnak és így biológiai interakciókat generálhatnak. Ejim és mts-ai 2011-ben in vitro kísérleteket végeztek arra vonatkozóan, hogy különböző hatású farmakonok és antibiotikum együttes alkalmazása mennyire befolyásolja az antimikrobás hatást. Szinergizmus jelenségét figyelték meg loperidin és minocyclin együttes vizsgálatakor. Korábban számos szerző igazolta nem-antibiotikum esetében az antimikrobiális hatást.</w:t>
      </w:r>
    </w:p>
    <w:p>
      <w:pPr>
        <w:widowControl w:val="on"/>
        <w:pBdr/>
        <w:spacing w:before="240" w:after="240" w:line="240" w:lineRule="auto"/>
        <w:ind w:left="0" w:right="0"/>
        <w:jc w:val="left"/>
      </w:pPr>
      <w:r>
        <w:rPr>
          <w:color w:val="000000"/>
          <w:sz w:val="24"/>
          <w:szCs w:val="24"/>
        </w:rPr>
        <w:t xml:space="preserve">Célul tűztük ki, hogy megvizsgáljuk nem-antibiotikus szerek infúziós készítményeiben kontamináció esetén a baktériumok túlélését és a szerek befolyásolják-e az antibiotikumokkal együttadva az antimikrobiális hatást.</w:t>
      </w:r>
    </w:p>
    <w:p>
      <w:pPr>
        <w:widowControl w:val="on"/>
        <w:pBdr/>
        <w:spacing w:before="240" w:after="240" w:line="240" w:lineRule="auto"/>
        <w:ind w:left="0" w:right="0"/>
        <w:jc w:val="left"/>
      </w:pPr>
      <w:r>
        <w:rPr>
          <w:color w:val="000000"/>
          <w:sz w:val="24"/>
          <w:szCs w:val="24"/>
        </w:rPr>
        <w:t xml:space="preserve">Módszer: A korábbi vizsgálataink alapján választottuk az amiodaront, amely antiaritmiás szer, és egy kombinált fájdalomcsillapító a Neodolpasse</w:t>
      </w:r>
      <w:r>
        <w:rPr>
          <w:color w:val="000000"/>
          <w:position w:val="4"/>
          <w:sz w:val="21"/>
          <w:szCs w:val="21"/>
          <w:vertAlign w:val="superscript"/>
        </w:rPr>
        <w:t xml:space="preserve">®</w:t>
      </w:r>
      <w:r>
        <w:rPr>
          <w:color w:val="000000"/>
          <w:sz w:val="24"/>
          <w:szCs w:val="24"/>
        </w:rPr>
        <w:t xml:space="preserve"> (diklofenák, orfenadrin) infúziós készítményt. Standard baktérium törzsek (Staphylococcus aureus ATCC 25923, Escherichia coli ATCC 25922, Pseudomonas aeruginosa ATCC 27853) 5x10</w:t>
      </w:r>
      <w:r>
        <w:rPr>
          <w:color w:val="000000"/>
          <w:position w:val="4"/>
          <w:sz w:val="21"/>
          <w:szCs w:val="21"/>
          <w:vertAlign w:val="superscript"/>
        </w:rPr>
        <w:t xml:space="preserve">3</w:t>
      </w:r>
      <w:r>
        <w:rPr>
          <w:color w:val="000000"/>
          <w:sz w:val="24"/>
          <w:szCs w:val="24"/>
        </w:rPr>
        <w:t xml:space="preserve"> csíraszámával kontaminálva a készítményeket vizsgáltuk a baktériumok túlélését. Majd meghatároztuk a két készítmény minimális gátlási koncentrációját (MIC) összehasonlítottuk a szérum koncentrációkkal. Végül vizsgálatokat végeztünk a különböző hatásmechanizmusú antibiotikumokkal való együttes hatásuk ellenőrzésére „checkerboard” módszerrel.</w:t>
      </w:r>
    </w:p>
    <w:p>
      <w:pPr>
        <w:widowControl w:val="on"/>
        <w:pBdr/>
        <w:spacing w:before="240" w:after="240" w:line="240" w:lineRule="auto"/>
        <w:ind w:left="0" w:right="0"/>
        <w:jc w:val="left"/>
      </w:pPr>
      <w:r>
        <w:rPr>
          <w:color w:val="000000"/>
          <w:sz w:val="24"/>
          <w:szCs w:val="24"/>
        </w:rPr>
        <w:t xml:space="preserve">Eredmények: Az amiodaron terápiásan alkalmazott oldatában 5x10</w:t>
      </w:r>
      <w:r>
        <w:rPr>
          <w:color w:val="000000"/>
          <w:position w:val="4"/>
          <w:sz w:val="21"/>
          <w:szCs w:val="21"/>
          <w:vertAlign w:val="superscript"/>
        </w:rPr>
        <w:t xml:space="preserve">3</w:t>
      </w:r>
      <w:r>
        <w:rPr>
          <w:color w:val="000000"/>
          <w:sz w:val="24"/>
          <w:szCs w:val="24"/>
        </w:rPr>
        <w:t xml:space="preserve"> baktériumcsíra 15 percen belül elpusztult. A Neodolpasse</w:t>
      </w:r>
      <w:r>
        <w:rPr>
          <w:color w:val="000000"/>
          <w:position w:val="4"/>
          <w:sz w:val="21"/>
          <w:szCs w:val="21"/>
          <w:vertAlign w:val="superscript"/>
        </w:rPr>
        <w:t xml:space="preserve">®</w:t>
      </w:r>
      <w:r>
        <w:rPr>
          <w:color w:val="000000"/>
          <w:sz w:val="24"/>
          <w:szCs w:val="24"/>
        </w:rPr>
        <w:t xml:space="preserve"> esetében a bactericid hatás hosszabb inkubáció után jelentkezett. Mindkét gyógyszer MIC értékei meghaladták a szérumszintet. Ennek ellenére antimikrobás szinergizmusát tapasztaltuk az amiodaronnak és oxytetracyclinnel a vizsgált törzsekre, míg a Neodolpasse</w:t>
      </w:r>
      <w:r>
        <w:rPr>
          <w:color w:val="000000"/>
          <w:position w:val="4"/>
          <w:sz w:val="21"/>
          <w:szCs w:val="21"/>
          <w:vertAlign w:val="superscript"/>
        </w:rPr>
        <w:t xml:space="preserve">®</w:t>
      </w:r>
      <w:r>
        <w:rPr>
          <w:color w:val="000000"/>
          <w:sz w:val="24"/>
          <w:szCs w:val="24"/>
        </w:rPr>
        <w:t xml:space="preserve">-nak a fehérje szintézist gátló antibiotikumokkal a Pseudomonas aeruginosa törzsre.</w:t>
      </w:r>
    </w:p>
    <w:p>
      <w:pPr>
        <w:widowControl w:val="on"/>
        <w:pBdr/>
        <w:spacing w:before="240" w:after="240" w:line="240" w:lineRule="auto"/>
        <w:ind w:left="0" w:right="0"/>
        <w:jc w:val="left"/>
      </w:pPr>
      <w:r>
        <w:rPr>
          <w:color w:val="000000"/>
          <w:sz w:val="24"/>
          <w:szCs w:val="24"/>
        </w:rPr>
        <w:t xml:space="preserve">Következtetések: Az amiodaron biztonságos még kontamináció esetén is. A nem-antibiotikumként alkalmazott gyógyszerek az antibiotikumokkal antimikrobás szinergizmust okozhatnak, így az alkalmazásuk során a kórokozó elpusztításához hozzájárulhatnak. Az in vitro tapasztalt antibakteriális szinergizmus in vivo megjelenésére további vizsgálatok szükségesek figyelembevéve az emberi szervezet egyedi farmakológiai és farmakokinetikai folyamatokra gyakorolt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84765">
    <w:multiLevelType w:val="hybridMultilevel"/>
    <w:lvl w:ilvl="0" w:tplc="84892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84765">
    <w:abstractNumId w:val="48684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029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