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RÓBERT BARKÓCZY</w:t>
            </w:r>
          </w:p>
          <w:p w:rsidR="00C275A3" w:rsidRDefault="00A96AEC" w:rsidP="00C275A3">
            <w:pPr>
              <w:pStyle w:val="Hallgatokepzes"/>
            </w:pPr>
            <w:r>
              <w:t>Pharmacy</w:t>
            </w:r>
            <w:r>
              <w:br/>
            </w:r>
            <w:r w:rsidR="00E77B23">
              <w:t>Unified, 7.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ÁGNES SZABÓ</w:t>
            </w:r>
          </w:p>
          <w:p w:rsidR="00DB4822" w:rsidRDefault="00C275A3" w:rsidP="004D7940">
            <w:pPr>
              <w:pStyle w:val="Hallgatokepzes"/>
            </w:pPr>
            <w:r>
              <w:t>Pharmacy</w:t>
            </w:r>
            <w:r w:rsidR="00A96AEC">
              <w:br/>
              <w:t>Unified,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Monika Kerényi</w:t>
            </w:r>
          </w:p>
          <w:p w:rsidR="00DB4822" w:rsidRDefault="00DB4822" w:rsidP="00E11062">
            <w:pPr>
              <w:pStyle w:val="Konzulensek"/>
            </w:pPr>
            <w:r w:rsidRPr="00DB4822">
              <w:t>associate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antimicrobial effects of non-antibiotic drug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Patients treated in Intensive Care Units usually require the intravenous co-administration of drugs with different mechanism of action for acute and chronic illness, infection, pain relief, and sedation. Different drugs influencing each other’s effects can generate biological interaction. Ejim et al (2011) investigated the impact of non-antimicrobial drugs on the antimicrobial effect of an antibiotic in vitro. They found antibacterial synergism when loperidin and minocycline were applied. Previously some authors confirmed antimicrobial effects of non-antibiotics.</w:t>
      </w:r>
    </w:p>
    <w:p>
      <w:pPr>
        <w:widowControl w:val="on"/>
        <w:pBdr/>
        <w:spacing w:before="240" w:after="240" w:line="240" w:lineRule="auto"/>
        <w:ind w:left="0" w:right="0"/>
        <w:jc w:val="left"/>
      </w:pPr>
      <w:r>
        <w:rPr>
          <w:color w:val="000000"/>
          <w:sz w:val="24"/>
          <w:szCs w:val="24"/>
        </w:rPr>
        <w:t xml:space="preserve">The aim of study wasto investigate the survival of contaminating bacteria in infusion administered non-antibiotic drugs and to elucidate the influence on antimicrobial effects of antibiotics in case of co-administration.</w:t>
      </w:r>
    </w:p>
    <w:p>
      <w:pPr>
        <w:widowControl w:val="on"/>
        <w:pBdr/>
        <w:spacing w:before="240" w:after="240" w:line="240" w:lineRule="auto"/>
        <w:ind w:left="0" w:right="0"/>
        <w:jc w:val="left"/>
      </w:pPr>
      <w:r>
        <w:rPr>
          <w:color w:val="000000"/>
          <w:sz w:val="24"/>
          <w:szCs w:val="24"/>
        </w:rPr>
        <w:t xml:space="preserve">Methods: Amiodarone (antiarrhytmic drug) and Neodolpasse</w:t>
      </w:r>
      <w:r>
        <w:rPr>
          <w:color w:val="000000"/>
          <w:position w:val="4"/>
          <w:sz w:val="21"/>
          <w:szCs w:val="21"/>
          <w:vertAlign w:val="superscript"/>
        </w:rPr>
        <w:t xml:space="preserve">®</w:t>
      </w:r>
      <w:r>
        <w:rPr>
          <w:color w:val="000000"/>
          <w:sz w:val="24"/>
          <w:szCs w:val="24"/>
        </w:rPr>
        <w:t xml:space="preserve"> (combined diclofenac, orphenadrine - painkiller) were selected based on our previous studies. Both drugs are administered by infusion. First the infusions were contaminated by 5x10</w:t>
      </w:r>
      <w:r>
        <w:rPr>
          <w:color w:val="000000"/>
          <w:position w:val="4"/>
          <w:sz w:val="21"/>
          <w:szCs w:val="21"/>
          <w:vertAlign w:val="superscript"/>
        </w:rPr>
        <w:t xml:space="preserve">3</w:t>
      </w:r>
      <w:r>
        <w:rPr>
          <w:color w:val="000000"/>
          <w:sz w:val="24"/>
          <w:szCs w:val="24"/>
        </w:rPr>
        <w:t xml:space="preserve"> colony forming units (cfu) of standard bacterial strains (Staphylococcus aureus ATCC 25923, Escherichia coli ATCC 25922, Pseudomonas aeruginosa ATCC 27853) separately and surviving of bacteria was checked at intervals. Minimal inhibitory concentration of the drugs were determined and compared with serum concentration. Checkerboard method was used for investigation of combined effect of amiodarone (also Neodolpasse</w:t>
      </w:r>
      <w:r>
        <w:rPr>
          <w:color w:val="000000"/>
          <w:position w:val="4"/>
          <w:sz w:val="21"/>
          <w:szCs w:val="21"/>
          <w:vertAlign w:val="superscript"/>
        </w:rPr>
        <w:t xml:space="preserve">®</w:t>
      </w:r>
      <w:r>
        <w:rPr>
          <w:color w:val="000000"/>
          <w:sz w:val="24"/>
          <w:szCs w:val="24"/>
        </w:rPr>
        <w:t xml:space="preserve">) and antibiotics (with different mechanism of action).</w:t>
      </w:r>
    </w:p>
    <w:p>
      <w:pPr>
        <w:widowControl w:val="on"/>
        <w:pBdr/>
        <w:spacing w:before="240" w:after="240" w:line="240" w:lineRule="auto"/>
        <w:ind w:left="0" w:right="0"/>
        <w:jc w:val="left"/>
      </w:pPr>
      <w:r>
        <w:rPr>
          <w:color w:val="000000"/>
          <w:sz w:val="24"/>
          <w:szCs w:val="24"/>
        </w:rPr>
        <w:t xml:space="preserve">Results: 5x10</w:t>
      </w:r>
      <w:r>
        <w:rPr>
          <w:color w:val="000000"/>
          <w:position w:val="4"/>
          <w:sz w:val="21"/>
          <w:szCs w:val="21"/>
          <w:vertAlign w:val="superscript"/>
        </w:rPr>
        <w:t xml:space="preserve">3</w:t>
      </w:r>
      <w:r>
        <w:rPr>
          <w:color w:val="000000"/>
          <w:sz w:val="24"/>
          <w:szCs w:val="24"/>
        </w:rPr>
        <w:t xml:space="preserve"> cfu bacteria were not survived in amiodarone after 15 minutes. The bactericidal effect of Neodolpasse</w:t>
      </w:r>
      <w:r>
        <w:rPr>
          <w:color w:val="000000"/>
          <w:position w:val="4"/>
          <w:sz w:val="21"/>
          <w:szCs w:val="21"/>
          <w:vertAlign w:val="superscript"/>
        </w:rPr>
        <w:t xml:space="preserve">®</w:t>
      </w:r>
      <w:r>
        <w:rPr>
          <w:color w:val="000000"/>
          <w:sz w:val="24"/>
          <w:szCs w:val="24"/>
        </w:rPr>
        <w:t xml:space="preserve"> occurred after longer incubation. MIC levels of both drugs are higher than the serum concentration of drugs. There were synergistic antimicrobial effects of combined amiodarone and oxytetracycline against standard bacterial strains, but antibiotics inhibiting protein synthesis has synergism with Neodolpasse</w:t>
      </w:r>
      <w:r>
        <w:rPr>
          <w:color w:val="000000"/>
          <w:position w:val="4"/>
          <w:sz w:val="21"/>
          <w:szCs w:val="21"/>
          <w:vertAlign w:val="superscript"/>
        </w:rPr>
        <w:t xml:space="preserve">®</w:t>
      </w:r>
      <w:r>
        <w:rPr>
          <w:color w:val="000000"/>
          <w:sz w:val="24"/>
          <w:szCs w:val="24"/>
        </w:rPr>
        <w:t xml:space="preserve"> against only Pseudomonas aeruginosa strain.</w:t>
      </w:r>
    </w:p>
    <w:p>
      <w:pPr>
        <w:widowControl w:val="on"/>
        <w:pBdr/>
        <w:spacing w:before="240" w:after="240" w:line="240" w:lineRule="auto"/>
        <w:ind w:left="0" w:right="0"/>
        <w:jc w:val="left"/>
      </w:pPr>
      <w:r>
        <w:rPr>
          <w:color w:val="000000"/>
          <w:sz w:val="24"/>
          <w:szCs w:val="24"/>
        </w:rPr>
        <w:t xml:space="preserve">Conclusions: Amiodarone can be safely administrated even if contamination occurred.The non-antibiotics might have antimicrobial synergistic effect with some antibiotics, they can contribute to killing of pathogens when they are co-administrated. Further research is required whether there is any in vivo synergistic effect resemble for the above in vitro results, paying attention to the pharmacokinetical and pharmacodynamical interactions between the host and the drugs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72595">
    <w:multiLevelType w:val="hybridMultilevel"/>
    <w:lvl w:ilvl="0" w:tplc="58537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72595">
    <w:abstractNumId w:val="55672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196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