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BATINKOV</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Vancsodi</w:t>
            </w:r>
          </w:p>
          <w:p w:rsidR="00DB4822" w:rsidRDefault="00DB4822" w:rsidP="00E11062">
            <w:pPr>
              <w:pStyle w:val="Konzulensek"/>
            </w:pPr>
            <w:r w:rsidRPr="00DB4822">
              <w:t>resident doctor, PTE ÁOK</w:t>
            </w:r>
          </w:p>
        </w:tc>
      </w:tr>
      <w:tr w:rsidR="00DB4822" w:rsidTr="00DB4822">
        <w:tc>
          <w:tcPr>
            <w:tcW w:w="9854" w:type="dxa"/>
          </w:tcPr>
          <w:p w:rsidR="00DB4822" w:rsidRPr="00DB4822" w:rsidRDefault="00DB4822" w:rsidP="004D7940">
            <w:pPr>
              <w:pStyle w:val="Konzulensek"/>
            </w:pPr>
            <w:r w:rsidRPr="00DB4822">
              <w:t>Szilvia Nagy</w:t>
            </w:r>
          </w:p>
          <w:p w:rsidR="00DB4822" w:rsidRDefault="00DB4822" w:rsidP="00E11062">
            <w:pPr>
              <w:pStyle w:val="Konzulensek"/>
            </w:pPr>
            <w:r w:rsidRPr="00DB4822">
              <w:t> research fellow,  Pécsi Diagnosztikai 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T2 mapping technique in cartilage surgery, or modern MR imaging in postoperative follow-up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recent years, the intensive technical revolution in medical diagnostics shifted the focus from operative empirical information methods to modern medical imaging. This is especially important in the diagnosis of hyaline-cartilage defects, where invasive arthroscopic survey is being overshadowed by modern quantitative and qualitative MRI techniques. Therefore the aim of our study is to investigate the role of T2 mapping MRI technique concerning micro-structure changes of hyalin tissue, and to get quantitative follow-up information after cartilage transplantation.</w:t>
      </w:r>
      <w:r>
        <w:rPr>
          <w:color w:val="000000"/>
          <w:sz w:val="24"/>
          <w:szCs w:val="24"/>
        </w:rPr>
        <w:br/>
        <w:t xml:space="preserve">Methods: The knee MR examinations were conducted with Siemens 3T Trio MR system, with an 8-channel knee coil. Besides the proton density weighted (PDW) images, multi echo spin echo sequence was also performed for T2 analysis in patients with pure cartilage allograft (PCG) implantation (n=7 patients, n’=8 implantations). Four patients were examined in the 1st and 2nd postoperative years (in total of 8 MR examinations were made). FSL FLIRT linear registration toolbox image registration algorithm was used to register MR images, then T2 values were calculated from the transplanted and control regions by Matlab software. To assessed the vitality of implanted grafts color coded images were evaluate with 3D Slicer software.</w:t>
      </w:r>
      <w:r>
        <w:rPr>
          <w:color w:val="000000"/>
          <w:sz w:val="24"/>
          <w:szCs w:val="24"/>
        </w:rPr>
        <w:br/>
        <w:t xml:space="preserve">Results: Our results showed that the use of T2 mapping may provide useful information about the hyaline-cartilage in a quantitative manner, consequently the viability of cartilage allograft can be determine.</w:t>
      </w:r>
      <w:r>
        <w:rPr>
          <w:color w:val="000000"/>
          <w:sz w:val="24"/>
          <w:szCs w:val="24"/>
        </w:rPr>
        <w:br/>
        <w:t xml:space="preserve">Conclusion: Our experiences may provide a useful tool to further evaluate other surgical treatments of focal cartilage defects, and predict their efficiency.</w:t>
      </w:r>
      <w:r>
        <w:rPr>
          <w:color w:val="000000"/>
          <w:sz w:val="24"/>
          <w:szCs w:val="24"/>
        </w:rPr>
        <w:br/>
        <w:t xml:space="preserve">Grant support: Developing Competitiveness of Universities in the South Transdanubian Region (SROP-4.2.1.B-10/2/KONV-2010-0002)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2693">
    <w:multiLevelType w:val="hybridMultilevel"/>
    <w:lvl w:ilvl="0" w:tplc="39380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82693">
    <w:abstractNumId w:val="38682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085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