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STELLA RÉKA BERÉNYI</w:t>
            </w:r>
          </w:p>
          <w:p w:rsidR="00C275A3" w:rsidRDefault="00A96AEC" w:rsidP="00C275A3">
            <w:pPr>
              <w:pStyle w:val="Hallgatokepzes"/>
            </w:pPr>
            <w:r>
              <w:t>Biology</w:t>
            </w:r>
            <w:r>
              <w:br/>
            </w:r>
            <w:r w:rsidR="00E77B23">
              <w:t>Unified, 5.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Jáksó</w:t>
            </w:r>
          </w:p>
          <w:p w:rsidR="00DB4822" w:rsidRDefault="00DB4822" w:rsidP="00E11062">
            <w:pPr>
              <w:pStyle w:val="Konzulensek"/>
            </w:pPr>
            <w:r w:rsidRPr="00DB4822">
              <w:t>research fellow,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CD58 and CD99 expression for detection of minimal residual disease in pediatric-ALL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international ALL-IC 2009 protocol for the detection of minimal residual disease (MRD) in paediatric acute lymphoblastic leukaemia (ALL) was introduced in Hungary in 2011. In order to detect the abnormal blastic cells, the CD58 in B-ALL and CD99 antibodies in T-ALL are recommended because according to earlier studies these antigens are over-expressed compared to normal blasts and show stable expression. Without previous experience with the use of these antibodies we wanted to check whether they could be useful for this task.</w:t>
      </w:r>
    </w:p>
    <w:p>
      <w:pPr>
        <w:widowControl w:val="on"/>
        <w:pBdr/>
        <w:spacing w:before="240" w:after="240" w:line="240" w:lineRule="auto"/>
        <w:ind w:left="0" w:right="0"/>
        <w:jc w:val="left"/>
      </w:pPr>
      <w:r>
        <w:rPr>
          <w:color w:val="000000"/>
          <w:sz w:val="24"/>
          <w:szCs w:val="24"/>
        </w:rPr>
        <w:t xml:space="preserve">Methods: CD58 expression was measured in 45 samples of 16 B-ALL and CD99 expression was measured in 20 samples of 6 T-ALL in paediatric patients. In 11 cases bone marrow samples of non-ALL patients were used as control. The expression of the abnormal and normal blast was detected with 3-5 colour flow cytometry after immunolabeling. The expression intensity was quantitated and compared to calibration beads.</w:t>
      </w:r>
    </w:p>
    <w:p>
      <w:pPr>
        <w:widowControl w:val="on"/>
        <w:pBdr/>
        <w:spacing w:before="240" w:after="240" w:line="240" w:lineRule="auto"/>
        <w:ind w:left="0" w:right="0"/>
        <w:jc w:val="left"/>
      </w:pPr>
      <w:r>
        <w:rPr>
          <w:color w:val="000000"/>
          <w:sz w:val="24"/>
          <w:szCs w:val="24"/>
        </w:rPr>
        <w:t xml:space="preserve">Results: The median of CD58 expression of the leukaemic blasts at diagnosis was 8.7 times higher compared to the controls but at the 15. day the expression was decreased to the level of the controls in 3/4 of the patients. The 3.6 times higher expression of CD99 at diagnosis was decreased to the level of the controls at day 15 in 2/3 of the cases. The expression of each antigen showed remarkable standard deviation.</w:t>
      </w:r>
    </w:p>
    <w:p>
      <w:pPr>
        <w:widowControl w:val="on"/>
        <w:pBdr/>
        <w:spacing w:before="240" w:after="240" w:line="240" w:lineRule="auto"/>
        <w:ind w:left="0" w:right="0"/>
        <w:jc w:val="left"/>
      </w:pPr>
      <w:r>
        <w:rPr>
          <w:color w:val="000000"/>
          <w:sz w:val="24"/>
          <w:szCs w:val="24"/>
        </w:rPr>
        <w:t xml:space="preserve">Conclusion: According to our results the usefulness of these antigens for the detection of MRD is limited because their expression on leukaemia cells is decreased to the level of the normal blasts in the major part of the patients and therefore it doesn't help to separate them. The remarkable standard deviation and fluctuation of the expression in the same patients at different time points of the therapy may refer to unstable expression in time. Our results imply that the expression of CD58 and CD99 antigens do not help in the detection of MRD in the major part of the patients.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93110">
    <w:multiLevelType w:val="hybridMultilevel"/>
    <w:lvl w:ilvl="0" w:tplc="28058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93110">
    <w:abstractNumId w:val="48193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315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