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BÓTOR DÁVID</w:t>
            </w:r>
          </w:p>
          <w:p w:rsidR="00C275A3" w:rsidRDefault="00A96AEC" w:rsidP="00C275A3">
            <w:pPr>
              <w:pStyle w:val="Hallgatokepzes"/>
            </w:pPr>
            <w:r>
              <w:t>Általános Orvosi Szak</w:t>
            </w:r>
            <w:r>
              <w:br/>
            </w:r>
            <w:r w:rsidR="00E77B23">
              <w:t>Osztatlan, 11.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Tóth Kálmán</w:t>
            </w:r>
          </w:p>
          <w:p w:rsidR="00DB4822" w:rsidRDefault="00DB4822" w:rsidP="00E11062">
            <w:pPr>
              <w:pStyle w:val="Konzulensek"/>
            </w:pPr>
            <w:r w:rsidRPr="00DB4822">
              <w:t>Egyetemi Tanár, Intézet Igazgató, PTE</w:t>
            </w:r>
          </w:p>
        </w:tc>
      </w:tr>
      <w:tr w:rsidR="00DB4822" w:rsidTr="00DB4822">
        <w:tc>
          <w:tcPr>
            <w:tcW w:w="9854" w:type="dxa"/>
          </w:tcPr>
          <w:p w:rsidR="00DB4822" w:rsidRPr="00DB4822" w:rsidRDefault="00DB4822" w:rsidP="004D7940">
            <w:pPr>
              <w:pStyle w:val="Konzulensek"/>
            </w:pPr>
            <w:r w:rsidRPr="00DB4822">
              <w:t>Dr. Papp Judit</w:t>
            </w:r>
          </w:p>
          <w:p w:rsidR="00DB4822" w:rsidRDefault="00DB4822" w:rsidP="00E11062">
            <w:pPr>
              <w:pStyle w:val="Konzulensek"/>
            </w:pPr>
            <w:r w:rsidRPr="00DB4822">
              <w:t>Rezidens, PTE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Metamizol: új lehetőség a trombocita aggregáció gátlásban?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Bótor Dávid PTE-ÁOK</w:t>
      </w:r>
    </w:p>
    <w:p>
      <w:pPr>
        <w:widowControl w:val="on"/>
        <w:pBdr/>
        <w:spacing w:before="240" w:after="240" w:line="240" w:lineRule="auto"/>
        <w:ind w:left="0" w:right="0"/>
        <w:jc w:val="left"/>
      </w:pPr>
      <w:r>
        <w:rPr>
          <w:color w:val="000000"/>
          <w:sz w:val="24"/>
          <w:szCs w:val="24"/>
        </w:rPr>
        <w:t xml:space="preserve">Pécsi Tudományegyetem, Klinikai Központ, I.sz. Belgyógyászati Klinika</w:t>
      </w:r>
    </w:p>
    <w:p>
      <w:pPr>
        <w:widowControl w:val="on"/>
        <w:pBdr/>
        <w:spacing w:before="240" w:after="240" w:line="240" w:lineRule="auto"/>
        <w:ind w:left="0" w:right="0"/>
        <w:jc w:val="left"/>
      </w:pPr>
      <w:r>
        <w:rPr>
          <w:color w:val="000000"/>
          <w:sz w:val="24"/>
          <w:szCs w:val="24"/>
        </w:rPr>
        <w:t xml:space="preserve">Metamizol: új lehetőség a trombocita aggregáció gátlásban?</w:t>
      </w:r>
    </w:p>
    <w:p>
      <w:pPr>
        <w:widowControl w:val="on"/>
        <w:pBdr/>
        <w:spacing w:before="240" w:after="240" w:line="240" w:lineRule="auto"/>
        <w:ind w:left="0" w:right="0"/>
        <w:jc w:val="left"/>
      </w:pPr>
      <w:r>
        <w:rPr>
          <w:color w:val="000000"/>
          <w:sz w:val="24"/>
          <w:szCs w:val="24"/>
        </w:rPr>
        <w:t xml:space="preserve">Bevezetés: Az acetilszalicilsav (ASA) fontos szerepet játszik az akut kardiovaszkuláris betegségek megelőzésében és terápiájában. A metamizol (MET) hatékony fájdalom- és lázcsillapító gyógyszer, de trombocita aggregáció gátlóként nem használjuk. Vizsgálatunkban a MET trombocita aggregáció gátló hatását és a két gyógyszer közti interakciókat tanulmányoztuk.</w:t>
      </w:r>
    </w:p>
    <w:p>
      <w:pPr>
        <w:widowControl w:val="on"/>
        <w:pBdr/>
        <w:spacing w:before="240" w:after="240" w:line="240" w:lineRule="auto"/>
        <w:ind w:left="0" w:right="0"/>
        <w:jc w:val="left"/>
      </w:pPr>
      <w:r>
        <w:rPr>
          <w:color w:val="000000"/>
          <w:sz w:val="24"/>
          <w:szCs w:val="24"/>
        </w:rPr>
        <w:t xml:space="preserve">Módszerek: In vitro vizsgálatunkban különböző koncentrációjú (6, 12, 25 μg/ml) ASA és MET oldatokat adtunk 10 egészséges önkéntestől vett vérhez. A lehetséges interakciók vizsgálatára MET-t és (1 μg/ml) 15 perccel később ASA-t (2 μg/ml) adtunk a vérhez. In vivo crossover vizsgálatunkban 20 egészséges férfit 3 csoportba osztottunk, a csoportok az alábbi terápiát kapták: 250 mg ASA per os, 1 g/2 ml MET i.v. és mindkét szert egyszerre. Vérvételek történtek: 0, 7, 15, 30 perc, 1, 4, 24 és 72 óra múlva. Trombocita aggregációs méréseket végeztünk optikai aggregométerrel, adrenalin és adenozin-difoszfát induktorokkal.</w:t>
      </w:r>
    </w:p>
    <w:p>
      <w:pPr>
        <w:widowControl w:val="on"/>
        <w:pBdr/>
        <w:spacing w:before="240" w:after="240" w:line="240" w:lineRule="auto"/>
        <w:ind w:left="0" w:right="0"/>
        <w:jc w:val="left"/>
      </w:pPr>
      <w:r>
        <w:rPr>
          <w:color w:val="000000"/>
          <w:sz w:val="24"/>
          <w:szCs w:val="24"/>
        </w:rPr>
        <w:t xml:space="preserve">Eredmények: In vitro vizsgálatainkban az ASA és a MET mindegyik vizsgált koncentrációban komplett adrenalin-indukálta trombocita aggregáció gátlást okozott. Az alacsony koncentrációban adott MET gátolta az ASA trombocita aggregáció gátlásának kialakulását, de a hatás kialakult, ha az ASA-t adtuk először a vérhez, vagy ha az ASA koncentrációját megemeltük. In vivo vizsgálatunkban a MET csoportban már 7 perc alatt komplett gátlás alakult ki, majd az aggregációs indexek emelkedni kezdtek, 24 óra után gátlást nem tapasztaltunk. Az ASA csoportban a trombocita aggregáció lassan csökkent, 4 óránál érte el a gátlás maximumát és még 72 óra után is tapasztaltunk hatást. Kombinált terápia esetén gyors gátlás kifejlődését láttuk, 24 óra után gátlást nem tapasztaltunk.</w:t>
      </w:r>
    </w:p>
    <w:p>
      <w:pPr>
        <w:widowControl w:val="on"/>
        <w:pBdr/>
        <w:spacing w:before="240" w:after="240" w:line="240" w:lineRule="auto"/>
        <w:ind w:left="0" w:right="0"/>
        <w:jc w:val="left"/>
      </w:pPr>
      <w:r>
        <w:rPr>
          <w:color w:val="000000"/>
          <w:sz w:val="24"/>
          <w:szCs w:val="24"/>
        </w:rPr>
        <w:t xml:space="preserve">Következtetés: A MET és az ASA trombocita aggregáció gátló hatása szignifikánsan nem tér el in vitro. Az alacsony, hatástalan dózisban alkalmazott MET akadályozza az ASA trombocita aggregáció gátló hatásának kifejlődését, mely interakció feltehetően kompetitív. In vivo vizsgálataink alapján az i.v adott MET-nak gyorsan kialakuló, teljes trombocita aggregáció gátló hatása van, mely terápiás alternatívaként megfontolható akut koronária szindrómában, amikor az ASA adása kontraindikált.</w:t>
      </w:r>
    </w:p>
    <w:p>
      <w:pPr>
        <w:widowControl w:val="on"/>
        <w:pBdr/>
        <w:spacing w:before="240" w:after="240" w:line="240" w:lineRule="auto"/>
        <w:ind w:left="0" w:right="0"/>
        <w:jc w:val="left"/>
      </w:pPr>
      <w:r>
        <w:rPr>
          <w:color w:val="000000"/>
          <w:sz w:val="24"/>
          <w:szCs w:val="24"/>
        </w:rPr>
        <w:t xml:space="preserve">Témavezető: Dr. Papp Judit, Prof. Dr. Tóth Kálmán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62022">
    <w:multiLevelType w:val="hybridMultilevel"/>
    <w:lvl w:ilvl="0" w:tplc="80015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62022">
    <w:abstractNumId w:val="35462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229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