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BÓTOR</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Kálmán Tóth </w:t>
            </w:r>
          </w:p>
          <w:p w:rsidR="00DB4822" w:rsidRDefault="00DB4822" w:rsidP="00E11062">
            <w:pPr>
              <w:pStyle w:val="Konzulensek"/>
            </w:pPr>
            <w:r w:rsidRPr="00DB4822">
              <w:t>MD, DSc , PTE</w:t>
            </w:r>
          </w:p>
        </w:tc>
      </w:tr>
      <w:tr w:rsidR="00DB4822" w:rsidTr="00DB4822">
        <w:tc>
          <w:tcPr>
            <w:tcW w:w="9854" w:type="dxa"/>
          </w:tcPr>
          <w:p w:rsidR="00DB4822" w:rsidRPr="00DB4822" w:rsidRDefault="00DB4822" w:rsidP="004D7940">
            <w:pPr>
              <w:pStyle w:val="Konzulensek"/>
            </w:pPr>
            <w:r w:rsidRPr="00DB4822">
              <w:t>Judit Papp</w:t>
            </w:r>
          </w:p>
          <w:p w:rsidR="00DB4822" w:rsidRDefault="00DB4822" w:rsidP="00E11062">
            <w:pPr>
              <w:pStyle w:val="Konzulensek"/>
            </w:pPr>
            <w:r w:rsidRPr="00DB4822">
              <w:t>MD, PTE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Metamizole: new possibility in the inhibition of platelet aggregation?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Dávid Bótor PTE-ÁOK</w:t>
      </w:r>
    </w:p>
    <w:p>
      <w:pPr>
        <w:widowControl w:val="on"/>
        <w:pBdr/>
        <w:spacing w:before="240" w:after="240" w:line="240" w:lineRule="auto"/>
        <w:ind w:left="0" w:right="0"/>
        <w:jc w:val="left"/>
      </w:pPr>
      <w:r>
        <w:rPr>
          <w:color w:val="000000"/>
          <w:sz w:val="24"/>
          <w:szCs w:val="24"/>
        </w:rPr>
        <w:t xml:space="preserve">1st Department of Medicine, University of Pecs, School of Medicine, Hungary</w:t>
      </w:r>
    </w:p>
    <w:p>
      <w:pPr>
        <w:widowControl w:val="on"/>
        <w:pBdr/>
        <w:spacing w:before="240" w:after="240" w:line="240" w:lineRule="auto"/>
        <w:ind w:left="0" w:right="0"/>
        <w:jc w:val="left"/>
      </w:pPr>
      <w:r>
        <w:rPr>
          <w:color w:val="000000"/>
          <w:sz w:val="24"/>
          <w:szCs w:val="24"/>
        </w:rPr>
        <w:t xml:space="preserve">Metamizole: new possibility in the inhibition of platelet aggregation?</w:t>
      </w:r>
    </w:p>
    <w:p>
      <w:pPr>
        <w:widowControl w:val="on"/>
        <w:pBdr/>
        <w:spacing w:before="240" w:after="240" w:line="240" w:lineRule="auto"/>
        <w:ind w:left="0" w:right="0"/>
        <w:jc w:val="left"/>
      </w:pPr>
      <w:r>
        <w:rPr>
          <w:color w:val="000000"/>
          <w:sz w:val="24"/>
          <w:szCs w:val="24"/>
        </w:rPr>
        <w:t xml:space="preserve">Introduction: Acetylsalicylic acid (ASA) plays an important role in the treatment and prevention of acute cardiovascular events. Metamizole (MET) is an effective analgesic and antipyretic, but it is not used as an antiplatelet drug. We aimed to examine the antiplatelet effect of MET, and the possible interactions between the drugs.</w:t>
      </w:r>
    </w:p>
    <w:p>
      <w:pPr>
        <w:widowControl w:val="on"/>
        <w:pBdr/>
        <w:spacing w:before="240" w:after="240" w:line="240" w:lineRule="auto"/>
        <w:ind w:left="0" w:right="0"/>
        <w:jc w:val="left"/>
      </w:pPr>
      <w:r>
        <w:rPr>
          <w:color w:val="000000"/>
          <w:sz w:val="24"/>
          <w:szCs w:val="24"/>
        </w:rPr>
        <w:t xml:space="preserve">Methods: In our in vitro examinations different concentrations of ASA and MET solutions (6, 12, 25 μg/ml) were added to blood samples obtained from 10 healthy subjects. To examine the possible interactions, MET (1 μg/ml) and 15 minutes later ASA (2 μg/ml) were added together to blood samples. In our in vivo crossover study 20 healthy males were divided into 3 groups that received: 250 mg ASA orally, 1 g/2 ml MET i.v. or both drugs at the same time. Blood was taken at baseline, 7, 15, 30 minutes, 1, 4, 24 and 72 hours. Epinephrine and adenosine-diphosphate induced platelet aggregation was determined by optical aggregometry.</w:t>
      </w:r>
    </w:p>
    <w:p>
      <w:pPr>
        <w:widowControl w:val="on"/>
        <w:pBdr/>
        <w:spacing w:before="240" w:after="240" w:line="240" w:lineRule="auto"/>
        <w:ind w:left="0" w:right="0"/>
        <w:jc w:val="left"/>
      </w:pPr>
      <w:r>
        <w:rPr>
          <w:color w:val="000000"/>
          <w:sz w:val="24"/>
          <w:szCs w:val="24"/>
        </w:rPr>
        <w:t xml:space="preserve">Results: Epinephrine-induced aggregation was completely inhibited in all examined ASA and MET concentrations (cc) in vitro. Lower, ineffective cc of MET inhibited the antiplatelet effect of ASA. The inhibition was completely restored when higher cc of ASA was used or if ASA was added first. Our in vivo study showed that in the MET group rapid onset of inhibition was already developed in the 7 minute samples, then aggregation slightly increased, and there was no inhibition after one day. In the ASA group platelet aggregation decreased slowly, reached its minimum at 4 hours and still had significant inhibitory effect after 72 hours. Combined therapy inhibited platelet aggregation rapidly, but after 24 hours no antiplatelet effect was observed.</w:t>
      </w:r>
    </w:p>
    <w:p>
      <w:pPr>
        <w:widowControl w:val="on"/>
        <w:pBdr/>
        <w:spacing w:before="240" w:after="240" w:line="240" w:lineRule="auto"/>
        <w:ind w:left="0" w:right="0"/>
        <w:jc w:val="left"/>
      </w:pPr>
      <w:r>
        <w:rPr>
          <w:color w:val="000000"/>
          <w:sz w:val="24"/>
          <w:szCs w:val="24"/>
        </w:rPr>
        <w:t xml:space="preserve">Conclusion: Antiplatelet effect of MET and ASA did not differ significantly in vitro. Lower cc of MET interferes with the antiplatelet effect of ASA which is possibly a competitive interaction. Our in vivo experiments showed that i.v. administered MET is an effective antiplatelet drug and can be considered as a therapeutic alternative, when ASA cannot be used in oral form.</w:t>
      </w:r>
    </w:p>
    <w:p>
      <w:pPr>
        <w:widowControl w:val="on"/>
        <w:pBdr/>
        <w:spacing w:before="240" w:after="240" w:line="240" w:lineRule="auto"/>
        <w:ind w:left="0" w:right="0"/>
        <w:jc w:val="left"/>
      </w:pPr>
      <w:r>
        <w:rPr>
          <w:color w:val="000000"/>
          <w:sz w:val="24"/>
          <w:szCs w:val="24"/>
        </w:rPr>
        <w:t xml:space="preserve">Tutor: Judit Papp MD; Kálmán Tóth MD, DSc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12461">
    <w:multiLevelType w:val="hybridMultilevel"/>
    <w:lvl w:ilvl="0" w:tplc="71740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12461">
    <w:abstractNumId w:val="58112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559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