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CSEKŐ</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Szabó MD.</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Gastritis staging in clinical practice by OLGA (Operative Link for Gastritis Assessment)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Chronic gastritis results in glandular atrophy and metaplasia leading to an increased risk of gastric cancer. OLGA system has been developed to evaluate mucosal atrophy and to prognosticate the risk of gastric cancer.</w:t>
      </w:r>
    </w:p>
    <w:p>
      <w:pPr>
        <w:widowControl w:val="on"/>
        <w:pBdr/>
        <w:spacing w:before="240" w:after="240" w:line="240" w:lineRule="auto"/>
        <w:ind w:left="0" w:right="0"/>
        <w:jc w:val="left"/>
      </w:pPr>
      <w:r>
        <w:rPr>
          <w:color w:val="000000"/>
          <w:sz w:val="24"/>
          <w:szCs w:val="24"/>
        </w:rPr>
        <w:t xml:space="preserve">Our aim was to examine the beneficial aspects of OLGA sampling for clinical practice.</w:t>
      </w:r>
    </w:p>
    <w:p>
      <w:pPr>
        <w:widowControl w:val="on"/>
        <w:pBdr/>
        <w:spacing w:before="240" w:after="240" w:line="240" w:lineRule="auto"/>
        <w:ind w:left="0" w:right="0"/>
        <w:jc w:val="left"/>
      </w:pPr>
      <w:r>
        <w:rPr>
          <w:color w:val="000000"/>
          <w:sz w:val="24"/>
          <w:szCs w:val="24"/>
        </w:rPr>
        <w:t xml:space="preserve">Methods: In 2011, 227 gastric biopsies were taken according to standardized biopsy mapping required for OLGA staging (2 samples from the antrum, 1 from the incisura and 2 from the corpus) and 433 by traditional way of sampling (2-3 biopsies from the antrum) for gastritis assessment. Inflammation, atrophy, OLGA staging, parietal cell hyperplasia (PCH), intestinal metaplasia (IM) and Helicobacter pylori (Hp) infection were evaluated after Hematoxylin &amp; Eosin and Warthin-Starry staining.</w:t>
      </w:r>
    </w:p>
    <w:p>
      <w:pPr>
        <w:widowControl w:val="on"/>
        <w:pBdr/>
        <w:spacing w:before="240" w:after="240" w:line="240" w:lineRule="auto"/>
        <w:ind w:left="0" w:right="0"/>
        <w:jc w:val="left"/>
      </w:pPr>
      <w:r>
        <w:rPr>
          <w:color w:val="000000"/>
          <w:sz w:val="24"/>
          <w:szCs w:val="24"/>
        </w:rPr>
        <w:t xml:space="preserve">Results: We found glandular atrophy categorized as OLGA-0 in 48%, -I in 30,4%, -II in 15,4%, -III in 4%, and –IV in 0,9%, and indefinite for atrophy in 1,3%. Hp was present in 23% of chronic gastritis by OLGA and 20% after traditional sampling. IM was detected in 32,6% by OLGA vs. 20% after traditional sampling. Hp infection was not detected in the majority of IM+ cases (71,6% after OLGA and 79,1% after traditional sampling.) PCH was present in 11,5% by OLGA, and 1,6% by traditional sampling. 82,5% of patients with PCH were on Proton-pump inhibitor (PPI) treatment (mean duration: 25 months).</w:t>
      </w:r>
    </w:p>
    <w:p>
      <w:pPr>
        <w:widowControl w:val="on"/>
        <w:pBdr/>
        <w:spacing w:before="240" w:after="240" w:line="240" w:lineRule="auto"/>
        <w:ind w:left="0" w:right="0"/>
        <w:jc w:val="left"/>
      </w:pPr>
      <w:r>
        <w:rPr>
          <w:color w:val="000000"/>
          <w:sz w:val="24"/>
          <w:szCs w:val="24"/>
        </w:rPr>
        <w:t xml:space="preserve">Conclusion: OLGA sampling resulting in 1.5 times more IM, and 4 times more PCH demonstrated that 5 biopsy samples obtained by gastric mapping bear more information compared to 2 samples. The presence of IM and Hp showed inverse proportion reflecing that metaplastic areas are inhospitable for Hp. High presence of PPI intake among patients with PCH points further precaution in indicating PPI.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71422">
    <w:multiLevelType w:val="hybridMultilevel"/>
    <w:lvl w:ilvl="0" w:tplc="82902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71422">
    <w:abstractNumId w:val="980714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733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