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DOROTTYA FARKAS</w:t>
            </w:r>
          </w:p>
          <w:p w:rsidR="00C275A3" w:rsidRDefault="00A96AEC" w:rsidP="00C275A3">
            <w:pPr>
              <w:pStyle w:val="Hallgatokepzes"/>
            </w:pPr>
            <w:r>
              <w:t>General medicine</w:t>
            </w:r>
            <w:r>
              <w:br/>
            </w:r>
            <w:r w:rsidR="00E77B23">
              <w:t>Unified, 7. semester</w:t>
            </w:r>
          </w:p>
          <w:p w:rsidR="00C265CE" w:rsidRPr="009E5FF1" w:rsidRDefault="00E77B23" w:rsidP="00C275A3">
            <w:pPr>
              <w:pStyle w:val="Hallgatokepzes"/>
              <w:rPr>
                <w:b/>
                <w:caps/>
              </w:rPr>
            </w:pPr>
            <w:r>
              <w:t>University of Pécs</w:t>
            </w:r>
            <w:r w:rsidR="00C275A3">
              <w:br/>
            </w:r>
            <w:r w:rsidR="00DB4822">
              <w:t>Medical School</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Gábor Horváth</w:t>
            </w:r>
          </w:p>
          <w:p w:rsidR="00DB4822" w:rsidRDefault="00DB4822" w:rsidP="00E11062">
            <w:pPr>
              <w:pStyle w:val="Konzulensek"/>
            </w:pPr>
            <w:r w:rsidRPr="00DB4822">
              <w:t>phd student, PTE ÁOK</w:t>
            </w:r>
          </w:p>
        </w:tc>
      </w:tr>
      <w:tr w:rsidR="00DB4822" w:rsidTr="00DB4822">
        <w:tc>
          <w:tcPr>
            <w:tcW w:w="9854" w:type="dxa"/>
          </w:tcPr>
          <w:p w:rsidR="00DB4822" w:rsidRPr="00DB4822" w:rsidRDefault="00DB4822" w:rsidP="004D7940">
            <w:pPr>
              <w:pStyle w:val="Konzulensek"/>
            </w:pPr>
            <w:r w:rsidRPr="00DB4822">
              <w:t>József Farkas</w:t>
            </w:r>
          </w:p>
          <w:p w:rsidR="00DB4822" w:rsidRDefault="00DB4822" w:rsidP="00E11062">
            <w:pPr>
              <w:pStyle w:val="Konzulensek"/>
            </w:pPr>
            <w:r w:rsidRPr="00DB4822">
              <w:t>professor's assistant, PTE ÁOK</w:t>
            </w:r>
          </w:p>
        </w:tc>
      </w:tr>
      <w:tr w:rsidR="00DB4822" w:rsidTr="00DB4822">
        <w:tc>
          <w:tcPr>
            <w:tcW w:w="9854" w:type="dxa"/>
          </w:tcPr>
          <w:p w:rsidR="00DB4822" w:rsidRPr="00DB4822" w:rsidRDefault="00DB4822" w:rsidP="004D7940">
            <w:pPr>
              <w:pStyle w:val="Konzulensek"/>
            </w:pPr>
            <w:r w:rsidRPr="00DB4822">
              <w:t>Dóra Reglődi</w:t>
            </w:r>
          </w:p>
          <w:p w:rsidR="00DB4822" w:rsidRDefault="00DB4822" w:rsidP="00E11062">
            <w:pPr>
              <w:pStyle w:val="Konzulensek"/>
            </w:pPr>
            <w:r w:rsidRPr="00DB4822">
              <w:t>professor, PTE ÁOK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effect of systemic PACAP treatment on locomotor activity in male and female rats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Introduction: The main research field of our team is the effects of pituitary adenylate cyclase activating polypeptide (PACAP), which is a neuropeptide with a wide range of functions. PACAP has protective effects in animal models of various diseases. Recently, a few human studies have been also published. Therefore, it is important to examine how systemic PACAP treatment affects animal behavior. Some previous studies have revealed that the administration of PACAP in the CNS modifies the locomotor behavior of animals. However, there are no details known about the effect of systemic PACAP treatment on general behavior. Most investigations are carried out in male animals, however, we have shown that certain effects of PACAP treatment are gender-dependent: in a rat model of Parkinson's disease PACAP treatment significantly decreased the behavioral deficit in male, but not in female, rats. The goal of the present experiment was the investigation of behavior of male and female rats after systemic PACAP treatment.</w:t>
      </w:r>
    </w:p>
    <w:p>
      <w:pPr>
        <w:widowControl w:val="on"/>
        <w:pBdr/>
        <w:spacing w:before="240" w:after="240" w:line="240" w:lineRule="auto"/>
        <w:ind w:left="0" w:right="0"/>
        <w:jc w:val="left"/>
      </w:pPr>
      <w:r>
        <w:rPr>
          <w:color w:val="000000"/>
          <w:sz w:val="24"/>
          <w:szCs w:val="24"/>
        </w:rPr>
        <w:t xml:space="preserve">Methods: Wistar rats were treated intraperitoneally with 50 µg PACAP-38. One day before, one and ten days after PACAP administration, open-field tests were carried out. The behavior of the animals were recorded for 5 minutes, and then the locomotor parameters (distance, time activity, rearing, centrally time spent) were evaluated.</w:t>
      </w:r>
    </w:p>
    <w:p>
      <w:pPr>
        <w:widowControl w:val="on"/>
        <w:pBdr/>
        <w:spacing w:before="240" w:after="240" w:line="240" w:lineRule="auto"/>
        <w:ind w:left="0" w:right="0"/>
        <w:jc w:val="left"/>
      </w:pPr>
      <w:r>
        <w:rPr>
          <w:color w:val="000000"/>
          <w:sz w:val="24"/>
          <w:szCs w:val="24"/>
        </w:rPr>
        <w:t xml:space="preserve">Results: We found that the systemic treatment in male rats did not cause significant behavioral alteration. In contrast, after PACAP treatment the locomotor activity of female rats significantly decreased and their anxiety increased. This difference in behavior could be observed both 1 and 10 days after the treatment.</w:t>
      </w:r>
    </w:p>
    <w:p>
      <w:pPr>
        <w:widowControl w:val="on"/>
        <w:pBdr/>
        <w:spacing w:before="240" w:after="240" w:line="240" w:lineRule="auto"/>
        <w:ind w:left="0" w:right="0"/>
        <w:jc w:val="left"/>
      </w:pPr>
      <w:r>
        <w:rPr>
          <w:color w:val="000000"/>
          <w:sz w:val="24"/>
          <w:szCs w:val="24"/>
        </w:rPr>
        <w:t xml:space="preserve">Conclusion: Inconclusion our results show that single systemic PACAP administration causes changes in the behavior of female rats. This study also shows the importance of necessity that both sexes should be tested because there could be significant gender differences.</w:t>
      </w:r>
    </w:p>
    <w:p>
      <w:pPr>
        <w:widowControl w:val="on"/>
        <w:pBdr/>
        <w:spacing w:before="240" w:after="240" w:line="240" w:lineRule="auto"/>
        <w:ind w:left="0" w:right="0"/>
        <w:jc w:val="left"/>
      </w:pPr>
      <w:r>
        <w:rPr>
          <w:color w:val="000000"/>
          <w:sz w:val="24"/>
          <w:szCs w:val="24"/>
        </w:rPr>
        <w:t xml:space="preserve">Grant support: This study was supported by OTKA K104984, TAMOP (4.2.1.B-10/2/KONV-2010-002, 4.2.2.B-10/1-2010-0029, 4.2.2.A-11/1/KONV-2012-0024), Arimura Foundation, PTE-MTA “Lendület” Program, Ross University Research Foundation.</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5461649">
    <w:multiLevelType w:val="hybridMultilevel"/>
    <w:lvl w:ilvl="0" w:tplc="2440995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5461649">
    <w:abstractNumId w:val="1546164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4040542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