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FÜLÖP</w:t>
            </w:r>
          </w:p>
          <w:p w:rsidR="00C275A3" w:rsidRDefault="00A96AEC" w:rsidP="00C275A3">
            <w:pPr>
              <w:pStyle w:val="Hallgatokepzes"/>
            </w:pPr>
            <w:r>
              <w:t>Medical School</w:t>
            </w:r>
            <w:r>
              <w:br/>
            </w:r>
            <w:r w:rsidR="00E77B23">
              <w:t>Unified, 14.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Tamás</w:t>
            </w:r>
          </w:p>
          <w:p w:rsidR="00DB4822" w:rsidRDefault="00DB4822" w:rsidP="00E11062">
            <w:pPr>
              <w:pStyle w:val="Konzulensek"/>
            </w:pPr>
            <w:r w:rsidRPr="00DB4822">
              <w:t>assistant professor, PTE ÁOK</w:t>
            </w:r>
          </w:p>
        </w:tc>
      </w:tr>
      <w:tr w:rsidR="00DB4822" w:rsidTr="00DB4822">
        <w:tc>
          <w:tcPr>
            <w:tcW w:w="9854" w:type="dxa"/>
          </w:tcPr>
          <w:p w:rsidR="00DB4822" w:rsidRPr="00DB4822" w:rsidRDefault="00DB4822" w:rsidP="004D7940">
            <w:pPr>
              <w:pStyle w:val="Konzulensek"/>
            </w:pPr>
            <w:r w:rsidRPr="00DB4822">
              <w:t>Dr. Krisztina Szabadfi</w:t>
            </w:r>
          </w:p>
          <w:p w:rsidR="00DB4822" w:rsidRDefault="00DB4822" w:rsidP="00E11062">
            <w:pPr>
              <w:pStyle w:val="Konzulensek"/>
            </w:pPr>
            <w:r w:rsidRPr="00DB4822">
              <w:t>research fellow,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Ca2+ binding protein expression in the inner ear of wild type and PACAP-deficient mice after kanamycin treatment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Pituitary adenylate cyclase activating polypeptide (PACAP) is a multifunctional neuropeptide with well known neuroprotective and neurotrophic effects. Recently, we have shown that PACAP protects cochlear cells against oxidative stress-induced apoptosis in vitro, but there are no data about its effects in different ototoxic insults such as aminoglycoside-induced toxicity.</w:t>
      </w:r>
      <w:r>
        <w:rPr>
          <w:color w:val="000000"/>
          <w:sz w:val="24"/>
          <w:szCs w:val="24"/>
        </w:rPr>
        <w:br/>
        <w:t xml:space="preserve">Methods: In this study we examined the effect of a single dose of ototoxic kanamycin treatment (1g/kg) on Ca2+ binding protein expression in hair cells of wild type and PACAP-deficient mice. We treated 5-day-old mice with kanamycin subcutaneously and 2 days later we examined the Ca2+ binding protein (parvalbumin, calretinin) expression of the hair cells with immunohistochemistry. Control animals received physiological saline.</w:t>
      </w:r>
      <w:r>
        <w:rPr>
          <w:color w:val="000000"/>
          <w:sz w:val="24"/>
          <w:szCs w:val="24"/>
        </w:rPr>
        <w:br/>
        <w:t xml:space="preserve">Results: We found that the inner and outer hair cells of control PACAP-deficient mice showed more pronounced parvalbumin and calretinin immunopositivity compared to control wild-type mice. Kanamycin induced a significant elevation in Ca2+ binding protein expression in hair cells of wild-type mice, but the baseline higher expression in PACAP-deficient mice did not change significantly after the treatment.</w:t>
      </w:r>
      <w:r>
        <w:rPr>
          <w:color w:val="000000"/>
          <w:sz w:val="24"/>
          <w:szCs w:val="24"/>
        </w:rPr>
        <w:br/>
        <w:t xml:space="preserve">Conclusion: Elevated endolymphatic Ca2+ is deleterious for the cochlear function, against which the high concentration of Ca2+ buffers in hair cells may protect. Meanwhile, the increased immunoreactivity of Ca2+ binding proteins in the absence of PACAP provide evidence for the important protective role of PACAP in hair cells against pathological conditions. Further investigations are necessary to examine the exact role of endogenous PACAP in ototoxic insults, therefore, in the future we plan to complete our experiments with PACAP-heterozygous animals providing alterations compared to wild type and PACAP-deficient animals.</w:t>
      </w:r>
      <w:r>
        <w:rPr>
          <w:color w:val="000000"/>
          <w:sz w:val="24"/>
          <w:szCs w:val="24"/>
        </w:rPr>
        <w:br/>
        <w:t xml:space="preserve">Grant support: This work was supported by PTE-MTA “Lendület” Program, Arimura Foundation, OTKA K104984, TAMOP 4.2.1.B-10/2/KONV-2010-002, 4.2.2.B-10/1-2010-0029, 4.2.2.A-11/1/KONV-2012-0024, Richter Gedeon Centenáriumi Alapítvány.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31305">
    <w:multiLevelType w:val="hybridMultilevel"/>
    <w:lvl w:ilvl="0" w:tplc="66693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31305">
    <w:abstractNumId w:val="95631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530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