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BUDAI</w:t>
            </w:r>
          </w:p>
          <w:p w:rsidR="00C275A3" w:rsidRDefault="00A96AEC" w:rsidP="00C275A3">
            <w:pPr>
              <w:pStyle w:val="Hallgatokepzes"/>
            </w:pPr>
            <w:r>
              <w:t>Faculty of Medicine</w:t>
            </w:r>
            <w:r>
              <w:br/>
            </w:r>
            <w:r w:rsidR="00E77B23">
              <w:t>Unified, 7.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ZSÓFIA CSIZEK</w:t>
            </w:r>
          </w:p>
          <w:p w:rsidR="00DB4822" w:rsidRDefault="00C275A3" w:rsidP="004D7940">
            <w:pPr>
              <w:pStyle w:val="Hallgatokepzes"/>
            </w:pPr>
            <w:r>
              <w:t>Faculty of Medicine</w:t>
            </w:r>
            <w:r w:rsidR="00A96AEC">
              <w:br/>
              <w:t>Unified, 7.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Medical School</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DIÁNA FÜLÖP</w:t>
            </w:r>
          </w:p>
          <w:p w:rsidR="00C275A3" w:rsidRDefault="00A96AEC" w:rsidP="00C275A3">
            <w:pPr>
              <w:pStyle w:val="Hallgatokepzes"/>
            </w:pPr>
            <w:r>
              <w:t>Faculty of Medicine</w:t>
            </w:r>
            <w:r>
              <w:br/>
            </w:r>
            <w:r w:rsidR="00E77B23">
              <w:t>Unified, 7.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Eszter Mikó-Baráth</w:t>
            </w:r>
          </w:p>
          <w:p w:rsidR="00DB4822" w:rsidRDefault="00DB4822" w:rsidP="00E11062">
            <w:pPr>
              <w:pStyle w:val="Konzulensek"/>
            </w:pPr>
            <w:r w:rsidRPr="00DB4822">
              <w:t>professor's assistant, PTE ÁOK</w:t>
            </w:r>
          </w:p>
        </w:tc>
      </w:tr>
      <w:tr w:rsidR="00DB4822" w:rsidTr="00DB4822">
        <w:tc>
          <w:tcPr>
            <w:tcW w:w="9854" w:type="dxa"/>
          </w:tcPr>
          <w:p w:rsidR="00DB4822" w:rsidRPr="00DB4822" w:rsidRDefault="00DB4822" w:rsidP="004D7940">
            <w:pPr>
              <w:pStyle w:val="Konzulensek"/>
            </w:pPr>
            <w:r w:rsidRPr="00DB4822">
              <w:t>Dr. Gábor Jandó</w:t>
            </w:r>
          </w:p>
          <w:p w:rsidR="00DB4822" w:rsidRDefault="00DB4822" w:rsidP="00E11062">
            <w:pPr>
              <w:pStyle w:val="Konzulensek"/>
            </w:pPr>
            <w:r w:rsidRPr="00DB4822">
              <w:t>associate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Maturation of binocular vision in preterm and full term infants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visual evoked potential (VEP) is an electrophysiological method, which can be used to investigate visual maturation. P1 latency, the major positive component of pattern reversal VEPs (PR-VEP), decreases rapidly during early visual development. By the end of the 5th month, P1 latency reaches the adult like 100 ms. Previous studies showed that the developmental time course of P1 is a function of postconceptual age rather than postnatal age, when it was compared in preterm and full term infant population. This developmental pattern indicates that additional visual input does not accelerate the maturation of P1 latency. In the current study dynamic random dot correlogram (DRDC) was used to evoke VEPs (DRDC-VEPs), in order to assess binocular function in infants. Our previous investigations proved that the precocious visual input present in healthy preterm infants accelerates the development of cortical binocularity and both the morphology and phase of DRDC-VEPs change with age. The objectives of our present study were: 1. to investigate phases as a function of age 2. decide whether the phase is a function of postconceptual or postnatal age, and 3. study the correlation between the DRDC-VEP phases and P1 latencies.</w:t>
      </w:r>
      <w:r>
        <w:rPr>
          <w:color w:val="000000"/>
          <w:sz w:val="24"/>
          <w:szCs w:val="24"/>
        </w:rPr>
        <w:br/>
        <w:t xml:space="preserve">Methods: PR-VEPs and DRDC-VEPs were recorded in 124 full term and 79 preterm healthy infants and toddlers. DRDC was presented on the red and green channels of CRT monitor; infants wore red-green goggles for dichoptic viewing. Reliability of VEP responses was assessed by T2circ statistic. Logit function was fit to the phase and latency data as function of age; the goodness of fit was assessed by analysis of residuals.</w:t>
      </w:r>
      <w:r>
        <w:rPr>
          <w:color w:val="000000"/>
          <w:sz w:val="24"/>
          <w:szCs w:val="24"/>
        </w:rPr>
        <w:br/>
        <w:t xml:space="preserve">Results: Both DRDC-VEP phases and PR-VEP P1 latencies showed stronger correlation with adjusted rather than postnatal age, and positive correlation was observed (R2=0.5) with each other.</w:t>
      </w:r>
      <w:r>
        <w:rPr>
          <w:color w:val="000000"/>
          <w:sz w:val="24"/>
          <w:szCs w:val="24"/>
        </w:rPr>
        <w:br/>
        <w:t xml:space="preserve">Conclusion: Although the development of cortical binocularity requires visual experience, our data suggest that after the onset of binocularity the maturation of DRDC-VEP phases seems to be preprogrammed developmental process, and most probably depends on myelinisation similarly to P1 maturation.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584698">
    <w:multiLevelType w:val="hybridMultilevel"/>
    <w:lvl w:ilvl="0" w:tplc="961201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584698">
    <w:abstractNumId w:val="475846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18683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