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FÜREDI</w:t>
            </w:r>
          </w:p>
          <w:p w:rsidR="00C275A3" w:rsidRDefault="00A96AEC" w:rsidP="00C275A3">
            <w:pPr>
              <w:pStyle w:val="Hallgatokepzes"/>
            </w:pPr>
            <w:r>
              <w:t>Medical Biotechnology</w:t>
            </w:r>
            <w:r>
              <w:br/>
            </w:r>
            <w:r w:rsidR="00E77B23">
              <w:t>MSc, 4.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ALEXANDRA MIKÓ</w:t>
            </w:r>
          </w:p>
          <w:p w:rsidR="00DB4822" w:rsidRDefault="00C275A3" w:rsidP="004D7940">
            <w:pPr>
              <w:pStyle w:val="Hallgatokepzes"/>
            </w:pPr>
            <w:r>
              <w:t>General Medicine Major</w:t>
            </w:r>
            <w:r w:rsidR="00A96AEC">
              <w:br/>
              <w:t>Unified, 12.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TENK</w:t>
            </w:r>
          </w:p>
          <w:p w:rsidR="00C275A3" w:rsidRDefault="00A96AEC" w:rsidP="00C275A3">
            <w:pPr>
              <w:pStyle w:val="Hallgatokepzes"/>
            </w:pPr>
            <w:r>
              <w:t>General Medicine Major</w:t>
            </w:r>
            <w:r>
              <w:br/>
            </w:r>
            <w:r w:rsidR="00E77B23">
              <w:t>Unified, 12.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Pétervári M.D., Ph.D</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Anorexigenic effects of cholecystokinin depend on age and body composition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Cholecystokinin (CCK) is one of the most important peripheral anorexigenic (suppression of the food intake) peptide. The level and the activity of the peptide is increased in the elderly suggesting its role in the aging anorexia, cachexia and muscle atrophy. The activity of CCK has not been measured in middle-aged population. In our previous studies we observed characteristic age-related shifts in effects of other peptides. We hypothesize that effects of CCK has similar changes, that can contribute to the explanation of the obesity of middle-aged as well as the anorexia of old individuals.</w:t>
      </w:r>
    </w:p>
    <w:p>
      <w:pPr>
        <w:widowControl w:val="on"/>
        <w:pBdr/>
        <w:spacing w:before="240" w:after="240" w:line="240" w:lineRule="auto"/>
        <w:ind w:left="0" w:right="0"/>
        <w:jc w:val="left"/>
      </w:pPr>
      <w:r>
        <w:rPr>
          <w:color w:val="000000"/>
          <w:sz w:val="24"/>
          <w:szCs w:val="24"/>
        </w:rPr>
        <w:t xml:space="preserve">Methods: Male Wistar rats aged 3-, 6- or 12,- 18-, 24 months (young adult, early or late middle-aged, aging, old, respectively) were injected by CCK intraperitoneally (5 µg) to test anorexigenic effects of CCK on 3-h re-feeding following 48-h fasting. For testing the influence of body composition, 12-month-old calorie-restricted (40% reduction) and 6- or 12-month-old high-fat diet-induced obese (60% fat calories) groups were also established. Food intake was recorded in automated FeedScale system. For statistical analyses one-way ANOVA was used.</w:t>
      </w:r>
    </w:p>
    <w:p>
      <w:pPr>
        <w:widowControl w:val="on"/>
        <w:pBdr/>
        <w:spacing w:before="240" w:after="240" w:line="240" w:lineRule="auto"/>
        <w:ind w:left="0" w:right="0"/>
        <w:jc w:val="left"/>
      </w:pPr>
      <w:r>
        <w:rPr>
          <w:color w:val="000000"/>
          <w:sz w:val="24"/>
          <w:szCs w:val="24"/>
        </w:rPr>
        <w:t xml:space="preserve">Results: Anorexic effects of CCK showed well-defined age-related shifts. CCK suppressed re-feeding in young adult, early middle-aged, aging and old animals. CCK-resistance of late middle-aged rats was prevented by life-long calorie-restriction. Conversely, in obese 6-month-old rats the CCK-induced suppression of re-feeding was diminished already. On the other hand, obese 12-month-old rats showed CCK-sensitivity similar to that of normally fed aging and old animals.</w:t>
      </w:r>
    </w:p>
    <w:p>
      <w:pPr>
        <w:widowControl w:val="on"/>
        <w:pBdr/>
        <w:spacing w:before="240" w:after="240" w:line="240" w:lineRule="auto"/>
        <w:ind w:left="0" w:right="0"/>
        <w:jc w:val="left"/>
      </w:pPr>
      <w:r>
        <w:rPr>
          <w:color w:val="000000"/>
          <w:sz w:val="24"/>
          <w:szCs w:val="24"/>
        </w:rPr>
        <w:t xml:space="preserve">Conclusion: In conclusion, age-related changes in the responsiveness to CCK may contribute to the explanation of middle-aged obesity and that of aging anorexia. CCK-responsiveness is also influenced by body composition: calorie restriction delays, obesity promotes age-related regulatory alterations.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93625">
    <w:multiLevelType w:val="hybridMultilevel"/>
    <w:lvl w:ilvl="0" w:tplc="25675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93625">
    <w:abstractNumId w:val="32393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585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