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GÁL</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Kvell MD PhD</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Judit Pongrácz PhD</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 expressional changes in thymic epithelial cells during aging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thymus is a primary organ of the immune system. It matures and sorts T-lymphocytes. By the early teens, the thymus begins to show atrophy and thymic stroma is replaced by adipose tissue. Involution of the thymus has been linked to loss of immune function in the elderly, susceptibility to infection, autoimmune diseases and cancer. Our aim is to know more about the process of the adipocyte transformation. Previous experiments established that Wnt4 inhibits the aging process while LAP2α accelerates it in the thymic epithelium.</w:t>
      </w:r>
      <w:r>
        <w:rPr>
          <w:color w:val="000000"/>
          <w:sz w:val="24"/>
          <w:szCs w:val="24"/>
        </w:rPr>
        <w:br/>
        <w:t xml:space="preserve">Methods: We used primary thymic cells and thymic epithelial cell line to study the molecular background. We measured gene expressional changes in primary cells (physiological aging) and the model transgenic cell lines (LAP2α and steroid-induced aging) using Taqman Signature Plate, mouse lipid regulated genes. PPARγ(peroxisome proliferator-activated receptor γ) was the most consistent target gene. Therefore this was also examined by immunofluorescence staining.</w:t>
      </w:r>
      <w:r>
        <w:rPr>
          <w:color w:val="000000"/>
          <w:sz w:val="24"/>
          <w:szCs w:val="24"/>
        </w:rPr>
        <w:br/>
        <w:t xml:space="preserve">Results: We found in the analysis genes that play a decisive role in the fatty involution and their expression changes according to both physiological and the induced aging. The increase in the amount of PPARγ was also detected by staining.</w:t>
      </w:r>
      <w:r>
        <w:rPr>
          <w:color w:val="000000"/>
          <w:sz w:val="24"/>
          <w:szCs w:val="24"/>
        </w:rPr>
        <w:br/>
        <w:t xml:space="preserve">Conclusion: We can observe the process of transdifferentiation by histology. The pre-adipocyte differentiation marker PPARγ and the epithelial marker EpCAM1 co-localize. In the future, we would like to study LAP2α (a senescence-inducing molecule) and its subcellular localization and translocation. Therefore, we wish to create a stable cell line that over-expresses LAP2α along with a GFP-marker.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1996">
    <w:multiLevelType w:val="hybridMultilevel"/>
    <w:lvl w:ilvl="0" w:tplc="98285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1996">
    <w:abstractNumId w:val="43801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265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