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GILITSCH ANNAMÁRIA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Funke Simone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Ertl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Intrauterin retardáció okai és hatása az újszülöttek posztnatális adaptációjára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Méhen belüli növekedési elmaradásról (IUGR) akkor beszélünk, ha a születési súly a gesztációs kornak megfelelő súly 10 percentilis értékénél alacsonyabb. A háttérben húzódó foetális, placentáris és maternális okok súlyos perinatális morbiditásokhoz, akár intrauterin elhaláshoz is vezethetnek. Fontos a korai antenatális diagnózis és követés, valamint a szülés optimális időpontjának megválasztása, ami a terhesség terminálását jelentheti.</w:t>
      </w:r>
      <w:r>
        <w:rPr>
          <w:color w:val="000000"/>
          <w:sz w:val="24"/>
          <w:szCs w:val="24"/>
        </w:rPr>
        <w:br/>
        <w:t xml:space="preserve">Módszer: A PTE KK Szülészeti és Nőgyógyászati Klinikáján 2006 és 2012 között 11966 újszülött jött a világra, 5,7%-uk dysmaturus újszülöttként. Spontán megindult szülést követően 83,2%-uk jött a világra, 16,8%-uk pedig szülésindukciót követően született. Összehasonlítottuk ezen 2 csoport perinatális adatait, morbiditását és mortalitását. Az IUGR hátterének tisztázása céljából vizsgáltuk azokat az anyai és placentáris rizikótényezőket, melyek felelősek lehetnek a dysmaturitás kialakulásáért (pl. dohányzás, anyai életkor, szülészeti anamnézis). A konstitucionális ok (genetikailag determinált növekedési potenciál) szerepének tisztázása céljából elemeztük az anyák antropometriai adottságait is. A statisztai analízist kétmintás t-próba és Khi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-teszt segítségével végeztük. Eredményeinket p&lt;0,05 értéknél tekintettük szignifikánsnak.</w:t>
      </w:r>
      <w:r>
        <w:rPr>
          <w:color w:val="000000"/>
          <w:sz w:val="24"/>
          <w:szCs w:val="24"/>
        </w:rPr>
        <w:br/>
        <w:t xml:space="preserve">Eredmények: A gesztációs kor (37,7 vs 35,3 hét), születési súly (2270 vs 1780 g), 1 perces Apgar érték (8,6 vs 8,0) szignifikánsan alacsonyabbnak, míg az ápolási idő (10,7 vs 21,4 nap), a lélegeztetettek (8,3 vs 13,6%) és az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terápiában részesültek aránya (13,0 vs 26,9%), valamint a hypoglycaemia gyakorisága (20,8 vs 36,5%) szignifikánsan magasabbnak bizonyult az indukciós csoportban. A perinatális morbiditások közül az NRDS, BPD, NEC szignifikánsan gyakrabban érintették az indukciós csoport újszülöttjeit, mortalitásuk is magasabb volt (1,7 vs 3,5%). A rizikótényezők közül leggyakrabban a terhességek száma és az anamnézisben szereplő spontán és művi abortusz fordultak elő. A dysmaturus újszülöttet spontán világra hozó anyák szignifikánsan alacsonyabb termetűnek bizonyultak.</w:t>
      </w:r>
      <w:r>
        <w:rPr>
          <w:color w:val="000000"/>
          <w:sz w:val="24"/>
          <w:szCs w:val="24"/>
        </w:rPr>
        <w:br/>
        <w:t xml:space="preserve">Konklúzió: Nagyon fontos a perinatális szövődmények által veszélyeztetett magzatok korai felismerése, hogy az újszülött optimális időpontban, minél kevesebb hypoxiás károsodást elszenvedve jöjjön a világra. Lényeges a konstitucionális okból kis súlyú újszülöttek elkülönítése is, hogy megelőzhető legyen a iatrogén koraszülés és annak káros következményei.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90673">
    <w:multiLevelType w:val="hybridMultilevel"/>
    <w:lvl w:ilvl="0" w:tplc="47223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90673">
    <w:abstractNumId w:val="35290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111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