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ANNAMARIA GILITSCH</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Simone Funke MD.</w:t>
            </w:r>
          </w:p>
          <w:p w:rsidR="00DB4822" w:rsidRDefault="00DB4822" w:rsidP="00E11062">
            <w:pPr>
              <w:pStyle w:val="Konzulensek"/>
            </w:pPr>
            <w:r w:rsidRPr="00DB4822">
              <w:t>assistant professor, PTE ÁOK .</w:t>
            </w:r>
          </w:p>
        </w:tc>
      </w:tr>
      <w:tr w:rsidR="00DB4822" w:rsidTr="00DB4822">
        <w:tc>
          <w:tcPr>
            <w:tcW w:w="9854" w:type="dxa"/>
          </w:tcPr>
          <w:p w:rsidR="00DB4822" w:rsidRPr="00DB4822" w:rsidRDefault="00DB4822" w:rsidP="004D7940">
            <w:pPr>
              <w:pStyle w:val="Konzulensek"/>
            </w:pPr>
            <w:r w:rsidRPr="00DB4822">
              <w:t>Tibor Ertl MD. DSc.</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Intrauterine Growth Restriction: background and impact on postnatal adaptation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Fetuses below the 10th percentile for growth are defined as intrauterine growth restricted (IUGR). In the background several maternal, placental and fetal factors could be detected. Antenatal diagnosis in early stage, follow up and optimal time of labour – in severe cases: labour induction – are crucial for proper management.</w:t>
      </w:r>
      <w:r>
        <w:rPr>
          <w:color w:val="000000"/>
          <w:sz w:val="24"/>
          <w:szCs w:val="24"/>
        </w:rPr>
        <w:br/>
        <w:t xml:space="preserve">Methods: At the Department of Obstetrics and Gynaecology, Medical School, University of Pécs 11.966 infants were born between 2006 and 2012. The incidence of IUGR was 5.7%. A spontaneously started up labour occurred in 83.2% of the cases, while in 16.8% of the cases labour induction was performed. We compared perinatal clinical data, morbidity and mortality to identify the differences between the groups. We also studied maternal and placental factors which are suspected as the underlying cause of the condition (for example: smoking, maternal age, obstetrical history). Furthermore, we also investigated maternal antropometrical data to explore the role of constitutional factors. For statistical analysis Student's t-test and Chi</w:t>
      </w:r>
      <w:r>
        <w:rPr>
          <w:color w:val="000000"/>
          <w:position w:val="4"/>
          <w:sz w:val="21"/>
          <w:szCs w:val="21"/>
          <w:vertAlign w:val="superscript"/>
        </w:rPr>
        <w:t xml:space="preserve">2</w:t>
      </w:r>
      <w:r>
        <w:rPr>
          <w:color w:val="000000"/>
          <w:sz w:val="24"/>
          <w:szCs w:val="24"/>
        </w:rPr>
        <w:t xml:space="preserve">-test were used. The level of statistical significance was set at p&lt;0.05.</w:t>
      </w:r>
      <w:r>
        <w:rPr>
          <w:color w:val="000000"/>
          <w:sz w:val="24"/>
          <w:szCs w:val="24"/>
        </w:rPr>
        <w:br/>
        <w:t xml:space="preserve">Results: We revealed significant differences between the two groups: the mean gestational age (37.7 vs 35.3 weeks) and birth weight (2270 vs 1780 grams) were higher in the spontaneous group; in addition 1-minute Apgar score was significantly lower in neonates delivered after labour induction (8.6 vs 8.0). Their hospital stay was significantly longer (10.7 vs 21.4 days), and more children required respiration (8.3 vs 13.6%) and O</w:t>
      </w:r>
      <w:r>
        <w:rPr>
          <w:color w:val="000000"/>
          <w:position w:val="-4"/>
          <w:sz w:val="21"/>
          <w:szCs w:val="21"/>
          <w:vertAlign w:val="subscript"/>
        </w:rPr>
        <w:t xml:space="preserve">2</w:t>
      </w:r>
      <w:r>
        <w:rPr>
          <w:color w:val="000000"/>
          <w:sz w:val="24"/>
          <w:szCs w:val="24"/>
        </w:rPr>
        <w:t xml:space="preserve"> therapy (13.0 vs 26.9%). Significantly more IUGR neonates became hypoglycemic during the perinatal period in case of infants born after labour induction (20.8 vs 36.5%). Severe perinatal morbidities like NRDS, BPD, NEC occured more often and mortality was also higher (1.7 vs 3.5%) after induction. Number of pregnancies and previous spontaneous and arteficial abortion were proved to be the most important risk factors. Mothers who delivered dysmature fetuses spontaneously seemed to have smaller stature than ones, who underwent labour induction.</w:t>
      </w:r>
      <w:r>
        <w:rPr>
          <w:color w:val="000000"/>
          <w:sz w:val="24"/>
          <w:szCs w:val="24"/>
        </w:rPr>
        <w:br/>
        <w:t xml:space="preserve">Conclusion: It is important to identify dysmature fetuses who are at increased risk of perinatal morbidity and mortality to minimize the period of intrauterine hypoxia with its dangerous outcomes. It is also essential to distinguish them from constitutionally small fetuses to avoid labour induction and iatrogenic prematurity with its consequences.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81833">
    <w:multiLevelType w:val="hybridMultilevel"/>
    <w:lvl w:ilvl="0" w:tplc="50011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81833">
    <w:abstractNumId w:val="33581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410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