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LÓRÁND, MD</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KATINKA GULYÁS</w:t>
            </w:r>
          </w:p>
          <w:p w:rsidR="00DB4822" w:rsidRDefault="00C275A3" w:rsidP="004D7940">
            <w:pPr>
              <w:pStyle w:val="Hallgatokepzes"/>
            </w:pPr>
            <w:r>
              <w:t>general medicine</w:t>
            </w:r>
            <w:r w:rsidR="00A96AEC">
              <w:br/>
              <w:t>Unified, 11.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Cecília Varjú, MD</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Kornélia Farkas, MD</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László Czirják, MD Professor</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Validation and adaptation of Cochin Hand Function Scale to Hungary in systemic sclerosis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Systemic sclerosis (SSc) is a connective tissue disease characterized by vasculopathy and fibrosis of the skin, joints, and certain internal organs. The best instruments for the assessment of hand function in SSc are patient self-reported tests.</w:t>
      </w:r>
    </w:p>
    <w:p>
      <w:pPr>
        <w:widowControl w:val="on"/>
        <w:pBdr/>
        <w:spacing w:before="240" w:after="240" w:line="240" w:lineRule="auto"/>
        <w:ind w:left="0" w:right="0"/>
        <w:jc w:val="left"/>
      </w:pPr>
      <w:r>
        <w:rPr>
          <w:color w:val="000000"/>
          <w:sz w:val="24"/>
          <w:szCs w:val="24"/>
        </w:rPr>
        <w:t xml:space="preserve">Objective: Adaptation and validation of the internationally used Cochin scale to Hungary in SSc patients. In order to compare hand functions the questionnaire was applied to rheumatoid arthritis (RA) patients and also to a healthy control group.</w:t>
      </w:r>
    </w:p>
    <w:p>
      <w:pPr>
        <w:widowControl w:val="on"/>
        <w:pBdr/>
        <w:spacing w:before="240" w:after="240" w:line="240" w:lineRule="auto"/>
        <w:ind w:left="0" w:right="0"/>
        <w:jc w:val="left"/>
      </w:pPr>
      <w:r>
        <w:rPr>
          <w:color w:val="000000"/>
          <w:sz w:val="24"/>
          <w:szCs w:val="24"/>
        </w:rPr>
        <w:t xml:space="preserve">Patients and methods: Between October 2011 and July 2012 18 limited cutaneous SSc, 22 diffuse cutaneous SSc, 34 RA patients and 21 control persons filled in quetionnaires and were physically examined. Cochin test was compared with other instruments including the Health Assessment Questionnaire (HAQ), Disease Activity Index (DAS28) and Hand Anatomic Index (HAI).</w:t>
      </w:r>
    </w:p>
    <w:p>
      <w:pPr>
        <w:widowControl w:val="on"/>
        <w:pBdr/>
        <w:spacing w:before="240" w:after="240" w:line="240" w:lineRule="auto"/>
        <w:ind w:left="0" w:right="0"/>
        <w:jc w:val="left"/>
      </w:pPr>
      <w:r>
        <w:rPr>
          <w:color w:val="000000"/>
          <w:sz w:val="24"/>
          <w:szCs w:val="24"/>
        </w:rPr>
        <w:t xml:space="preserve">Results: There was no significant difference between SSc and RA patients with regard to the Cochin scale, HAQ, DAS28 and HAI. Although compared to the control group, significant differences were observed in case of Cochin scale and HAQ test results both in the SSc (p&lt;0,05) and the RA (p&lt;0,001) group. With the help of factor analysis, which assesses the construct validity, the questions were grouped under 2 factors in contrast to the 3 factors of the original scale. During the assessment of internal consistency high Cronbach alpha value (0,975) was found. In case of test-retest reliability Cochin scale showed a high intraclass correlation coefficient. No significant differences were found between the test results of limited cutaneuos and diffuse cutaneous subsets of SSc patients.</w:t>
      </w:r>
    </w:p>
    <w:p>
      <w:pPr>
        <w:widowControl w:val="on"/>
        <w:pBdr/>
        <w:spacing w:before="240" w:after="240" w:line="240" w:lineRule="auto"/>
        <w:ind w:left="0" w:right="0"/>
        <w:jc w:val="left"/>
      </w:pPr>
      <w:r>
        <w:rPr>
          <w:color w:val="000000"/>
          <w:sz w:val="24"/>
          <w:szCs w:val="24"/>
        </w:rPr>
        <w:t xml:space="preserve">Conclusions: The adaptation of Cochin scale to Hungary was successful, because it correlated with other indicators of hand dysfunction. The extent of damage in the hand function of SSc patients was similar to the RA patients’.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52603">
    <w:multiLevelType w:val="hybridMultilevel"/>
    <w:lvl w:ilvl="0" w:tplc="12927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52603">
    <w:abstractNumId w:val="272526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0154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