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ÁDÁM HORVÁTH</w:t>
            </w:r>
          </w:p>
          <w:p w:rsidR="00C275A3" w:rsidRDefault="00A96AEC" w:rsidP="00C275A3">
            <w:pPr>
              <w:pStyle w:val="Hallgatokepzes"/>
            </w:pPr>
            <w:r>
              <w:t>Faculty of Medicine</w:t>
            </w:r>
            <w:r>
              <w:br/>
            </w:r>
            <w:r w:rsidR="00E77B23">
              <w:t>Unified, 9. semester</w:t>
            </w:r>
          </w:p>
          <w:p w:rsidR="00C265CE" w:rsidRPr="009E5FF1" w:rsidRDefault="00E77B23" w:rsidP="00C275A3">
            <w:pPr>
              <w:pStyle w:val="Hallgatokepzes"/>
              <w:rPr>
                <w:b/>
                <w:caps/>
              </w:rPr>
            </w:pPr>
            <w:r>
              <w:t>University of Pécs</w:t>
            </w:r>
            <w:r w:rsidR="00C275A3">
              <w:br/>
            </w:r>
            <w:r w:rsidR="00DB4822">
              <w:t>Medical School</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MD Zsuzsanna Helyes</w:t>
            </w:r>
          </w:p>
          <w:p w:rsidR="00DB4822" w:rsidRDefault="00DB4822" w:rsidP="00E11062">
            <w:pPr>
              <w:pStyle w:val="Konzulensek"/>
            </w:pPr>
            <w:r w:rsidRPr="00DB4822">
              <w:t>associate professor, PTE ÁOK</w:t>
            </w:r>
          </w:p>
        </w:tc>
      </w:tr>
      <w:tr w:rsidR="00DB4822" w:rsidTr="00DB4822">
        <w:tc>
          <w:tcPr>
            <w:tcW w:w="9854" w:type="dxa"/>
          </w:tcPr>
          <w:p w:rsidR="00DB4822" w:rsidRPr="00DB4822" w:rsidRDefault="00DB4822" w:rsidP="004D7940">
            <w:pPr>
              <w:pStyle w:val="Konzulensek"/>
            </w:pPr>
            <w:r w:rsidRPr="00DB4822">
              <w:t>Valéria Tékus</w:t>
            </w:r>
          </w:p>
          <w:p w:rsidR="00DB4822" w:rsidRDefault="00DB4822" w:rsidP="00E11062">
            <w:pPr>
              <w:pStyle w:val="Konzulensek"/>
            </w:pPr>
            <w:r w:rsidRPr="00DB4822">
              <w:t>research fellow, PTE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Role of the Transient Receptor Potential Vanilloid 1 (TRPV1) and Ankyrin 1 (TRPA1) ion channels in inflammatory pain models of the mouse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Introduction: The TRPV1 and TRPA1 cation channels are expressed on primary sensory neurones. TRPV1 is stimulated by capsaicin, lipoxygenase products, protons, noxius heat (&gt;43°C) and TRPA1 by mustard oil (allylisothiocyanate: AITC), cinnamaldehyde, H</w:t>
      </w:r>
      <w:r>
        <w:rPr>
          <w:color w:val="000000"/>
          <w:position w:val="-4"/>
          <w:sz w:val="21"/>
          <w:szCs w:val="21"/>
          <w:vertAlign w:val="subscript"/>
        </w:rPr>
        <w:t xml:space="preserve">2</w:t>
      </w:r>
      <w:r>
        <w:rPr>
          <w:color w:val="000000"/>
          <w:sz w:val="24"/>
          <w:szCs w:val="24"/>
        </w:rPr>
        <w:t xml:space="preserve">S and cold temperature (&lt;18 °C). Several data suggest their involvement in nociceptive processes, but they are contradictory. Therefore, we investigated mechano- and thermosensation, as well as AITC-induced acute inflammatory hyperalgesia and nocifensive behaviour using gene-deficient mice (TRPV1</w:t>
      </w:r>
      <w:r>
        <w:rPr>
          <w:color w:val="000000"/>
          <w:position w:val="4"/>
          <w:sz w:val="21"/>
          <w:szCs w:val="21"/>
          <w:vertAlign w:val="superscript"/>
        </w:rPr>
        <w:t xml:space="preserve">-/-</w:t>
      </w:r>
      <w:r>
        <w:rPr>
          <w:color w:val="000000"/>
          <w:sz w:val="24"/>
          <w:szCs w:val="24"/>
        </w:rPr>
        <w:t xml:space="preserve">, TRPA1</w:t>
      </w:r>
      <w:r>
        <w:rPr>
          <w:color w:val="000000"/>
          <w:position w:val="4"/>
          <w:sz w:val="21"/>
          <w:szCs w:val="21"/>
          <w:vertAlign w:val="superscript"/>
        </w:rPr>
        <w:t xml:space="preserve">-/-</w:t>
      </w:r>
      <w:r>
        <w:rPr>
          <w:color w:val="000000"/>
          <w:sz w:val="24"/>
          <w:szCs w:val="24"/>
        </w:rPr>
        <w:t xml:space="preserve">).</w:t>
      </w:r>
      <w:r>
        <w:rPr>
          <w:color w:val="000000"/>
          <w:sz w:val="24"/>
          <w:szCs w:val="24"/>
        </w:rPr>
        <w:br/>
        <w:t xml:space="preserve">Methods: The noxious heat threshold was determined with the increasing-temperature hot plate (ITHP) on the hindpaw and with the increasing-temperature water bath (ITWB) on the tail. The mechanonociceptive threshold of the paw was determined by dynamic plantar aesthesiometery. Acute inflammatory heat and mechanical hyperalgesia, as well as nocifensive behaviour was evoked by immersing one paw or the tail into 1% AITC.</w:t>
      </w:r>
      <w:r>
        <w:rPr>
          <w:color w:val="000000"/>
          <w:sz w:val="24"/>
          <w:szCs w:val="24"/>
        </w:rPr>
        <w:br/>
        <w:t xml:space="preserve">Results: In agreement with the literature, there was no difference between either the thermonociceptive or the mechanonociceptive thresholds of the paw of TRPV1</w:t>
      </w:r>
      <w:r>
        <w:rPr>
          <w:color w:val="000000"/>
          <w:position w:val="4"/>
          <w:sz w:val="21"/>
          <w:szCs w:val="21"/>
          <w:vertAlign w:val="superscript"/>
        </w:rPr>
        <w:t xml:space="preserve">-/-</w:t>
      </w:r>
      <w:r>
        <w:rPr>
          <w:color w:val="000000"/>
          <w:sz w:val="24"/>
          <w:szCs w:val="24"/>
        </w:rPr>
        <w:t xml:space="preserve"> and TRPA1</w:t>
      </w:r>
      <w:r>
        <w:rPr>
          <w:color w:val="000000"/>
          <w:position w:val="4"/>
          <w:sz w:val="21"/>
          <w:szCs w:val="21"/>
          <w:vertAlign w:val="superscript"/>
        </w:rPr>
        <w:t xml:space="preserve">-/-</w:t>
      </w:r>
      <w:r>
        <w:rPr>
          <w:color w:val="000000"/>
          <w:sz w:val="24"/>
          <w:szCs w:val="24"/>
        </w:rPr>
        <w:t xml:space="preserve"> mice compared to their wildtype counterparts. In contrast, on the tail significantly higher thermonociceptive threshold was detected in TRPV1</w:t>
      </w:r>
      <w:r>
        <w:rPr>
          <w:color w:val="000000"/>
          <w:position w:val="4"/>
          <w:sz w:val="21"/>
          <w:szCs w:val="21"/>
          <w:vertAlign w:val="superscript"/>
        </w:rPr>
        <w:t xml:space="preserve">-/-</w:t>
      </w:r>
      <w:r>
        <w:rPr>
          <w:color w:val="000000"/>
          <w:sz w:val="24"/>
          <w:szCs w:val="24"/>
        </w:rPr>
        <w:t xml:space="preserve">, but not in TRPA1</w:t>
      </w:r>
      <w:r>
        <w:rPr>
          <w:color w:val="000000"/>
          <w:position w:val="4"/>
          <w:sz w:val="21"/>
          <w:szCs w:val="21"/>
          <w:vertAlign w:val="superscript"/>
        </w:rPr>
        <w:t xml:space="preserve">-/-</w:t>
      </w:r>
      <w:r>
        <w:rPr>
          <w:color w:val="000000"/>
          <w:sz w:val="24"/>
          <w:szCs w:val="24"/>
        </w:rPr>
        <w:t xml:space="preserve"> mice. AITC-evoked thermal and mechanical hyperalgesia were significantly diminished in TRPV1</w:t>
      </w:r>
      <w:r>
        <w:rPr>
          <w:color w:val="000000"/>
          <w:position w:val="4"/>
          <w:sz w:val="21"/>
          <w:szCs w:val="21"/>
          <w:vertAlign w:val="superscript"/>
        </w:rPr>
        <w:t xml:space="preserve">-/-</w:t>
      </w:r>
      <w:r>
        <w:rPr>
          <w:color w:val="000000"/>
          <w:sz w:val="24"/>
          <w:szCs w:val="24"/>
        </w:rPr>
        <w:t xml:space="preserve">, but not in TRPA1</w:t>
      </w:r>
      <w:r>
        <w:rPr>
          <w:color w:val="000000"/>
          <w:position w:val="4"/>
          <w:sz w:val="21"/>
          <w:szCs w:val="21"/>
          <w:vertAlign w:val="superscript"/>
        </w:rPr>
        <w:t xml:space="preserve">-/-</w:t>
      </w:r>
      <w:r>
        <w:rPr>
          <w:color w:val="000000"/>
          <w:sz w:val="24"/>
          <w:szCs w:val="24"/>
        </w:rPr>
        <w:t xml:space="preserve"> mice. Meanwhile, AITC–induced tail withdrawal latency was significantly longer in both gene-deleted groups than in the wildtypes.</w:t>
      </w:r>
      <w:r>
        <w:rPr>
          <w:color w:val="000000"/>
          <w:sz w:val="24"/>
          <w:szCs w:val="24"/>
        </w:rPr>
        <w:br/>
        <w:t xml:space="preserve">Conclusions: ITHP and ITWB are highly sensitive, reliable and well-reproducible techniques for measuring noxious heat thresholds of the paw and the tail. It is particularly important to investigate both paw and tail simultaneously, since we revealed differences between TRPV1 functions in thermosensation in these regions. Although AITC is a TRPA1 agonist in several systems, in our pain models TRPA1 was only involved in its nociceptive, but not in the hyperalgesic actions. Interesingly, TRPV1 is essential for both nociceptive and hyperalgesic effects of AITC.</w:t>
      </w:r>
      <w:r>
        <w:rPr>
          <w:color w:val="000000"/>
          <w:sz w:val="24"/>
          <w:szCs w:val="24"/>
        </w:rPr>
        <w:br/>
        <w:t xml:space="preserve">Support: SROP-4.2.2.A-11/1/KONV-2012-0024, SROP-4.2.1.B-10/2/KONV-2010-0002, SROP-4.2.2.B-10/1/2010-0029</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8293605">
    <w:multiLevelType w:val="hybridMultilevel"/>
    <w:lvl w:ilvl="0" w:tplc="3620834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8293605">
    <w:abstractNumId w:val="7829360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5206589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