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HORVÁTH</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Bogner Péter MD</w:t>
            </w:r>
          </w:p>
          <w:p w:rsidR="00DB4822" w:rsidRDefault="00DB4822" w:rsidP="00E11062">
            <w:pPr>
              <w:pStyle w:val="Konzulensek"/>
            </w:pPr>
            <w:r w:rsidRPr="00DB4822">
              <w:t>  associate professor, PTE ÁOK Diagnostic Centre of Pécs</w:t>
            </w:r>
          </w:p>
        </w:tc>
      </w:tr>
      <w:tr w:rsidR="00DB4822" w:rsidTr="00DB4822">
        <w:tc>
          <w:tcPr>
            <w:tcW w:w="9854" w:type="dxa"/>
          </w:tcPr>
          <w:p w:rsidR="00DB4822" w:rsidRPr="00DB4822" w:rsidRDefault="00DB4822" w:rsidP="004D7940">
            <w:pPr>
              <w:pStyle w:val="Konzulensek"/>
            </w:pPr>
            <w:r w:rsidRPr="00DB4822">
              <w:t>Mihály Aradi MD</w:t>
            </w:r>
          </w:p>
          <w:p w:rsidR="00DB4822" w:rsidRDefault="00DB4822" w:rsidP="00E11062">
            <w:pPr>
              <w:pStyle w:val="Konzulensek"/>
            </w:pPr>
            <w:r w:rsidRPr="00DB4822">
              <w:t>fellow,  Zala County Hospital, Department of Radiology and Isotope-diagnostics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evaluation of comatose brain with fMRI, DTI and H1-spectroscopy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accurate and reliable assessment of cognitive functions and their structural background in comatose patients can strongly support an appropriate management and promotes the prediction of future outcomes. However, the investigation of the level and content of cognitive processing with standard clinical methods is limited. In this recent study, we introduce a multimodal approach for an objective evaluation of residual brain function and structure in severely brain-damaged patients</w:t>
      </w:r>
    </w:p>
    <w:p>
      <w:pPr>
        <w:widowControl w:val="on"/>
        <w:pBdr/>
        <w:spacing w:before="240" w:after="240" w:line="240" w:lineRule="auto"/>
        <w:ind w:left="0" w:right="0"/>
        <w:jc w:val="left"/>
      </w:pPr>
      <w:r>
        <w:rPr>
          <w:color w:val="000000"/>
          <w:sz w:val="24"/>
          <w:szCs w:val="24"/>
        </w:rPr>
        <w:t xml:space="preserve">Methods: 8 comatose patients (6 traumatic, 2 hypoxic injury, all GCS ≤8) were examined on a 3T Siemens Trio MRI scanner. Besides the routine anatomical scans (T1-, T2-weighted, FLAIR, DWI), standard passive functional MRI (fMRI) including somatosensory, auditory and visual stimulation was performed to examine the residual sensory functions. In addition, diffusion tensor imaging (DTI) was used to evaluate the integrity of the neuronal pathways, and multivoxel proton spectroscopy to visualize the metabolic profile of the brain. The fMRI paradigms were performed in block-design setting (alternating active and passive phases). The data processing was performed by FSL software.</w:t>
      </w:r>
    </w:p>
    <w:p>
      <w:pPr>
        <w:widowControl w:val="on"/>
        <w:pBdr/>
        <w:spacing w:before="240" w:after="240" w:line="240" w:lineRule="auto"/>
        <w:ind w:left="0" w:right="0"/>
        <w:jc w:val="left"/>
      </w:pPr>
      <w:r>
        <w:rPr>
          <w:color w:val="000000"/>
          <w:sz w:val="24"/>
          <w:szCs w:val="24"/>
        </w:rPr>
        <w:t xml:space="preserve">Results: In patients with hypoxic brain injury diffuse morphological changes were visible on both anatomical and DTI scans. Brain activity for passive stimuli was detectable on the fMRI scans in only one of these cases. Spectroscopy showed diffuse severe neuronal loss. In patients with traumatic brain injury different and heterogeneous parenchymal lesions were detected by routine imaging. In contrast to the hypoxic brain injured patients fMRI revealed some degree of brain activity in all of the patients. These activities correlated well with the structural damages revealed by DTI.</w:t>
      </w:r>
    </w:p>
    <w:p>
      <w:pPr>
        <w:widowControl w:val="on"/>
        <w:pBdr/>
        <w:spacing w:before="240" w:after="240" w:line="240" w:lineRule="auto"/>
        <w:ind w:left="0" w:right="0"/>
        <w:jc w:val="left"/>
      </w:pPr>
      <w:r>
        <w:rPr>
          <w:color w:val="000000"/>
          <w:sz w:val="24"/>
          <w:szCs w:val="24"/>
        </w:rPr>
        <w:t xml:space="preserve">Conclusion: While fMRI makes possible to detect the brain activity of a severely brain damaged patient, DTI provides specific information about the integrity of the neuronal pathway structures (besides routine imaging), and spectroscopy reveals its metabolic profile. The combination of these three techniques provides a more complete and objective method to assess and map the state of the unconscious brain.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98068">
    <w:multiLevelType w:val="hybridMultilevel"/>
    <w:lvl w:ilvl="0" w:tplc="31067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98068">
    <w:abstractNumId w:val="89098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898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