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BARBARA HORVÁTH</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Reuter Dr.</w:t>
            </w:r>
          </w:p>
          <w:p w:rsidR="00DB4822" w:rsidRDefault="00DB4822" w:rsidP="00E11062">
            <w:pPr>
              <w:pStyle w:val="Konzulensek"/>
            </w:pPr>
            <w:r w:rsidRPr="00DB4822">
              <w:t>deputy-head,  Regional Laboratory of Virology, ÁNTSZ Regional Institute of State Public Health Service, Pécs, Hungary</w:t>
            </w:r>
          </w:p>
        </w:tc>
      </w:tr>
      <w:tr w:rsidR="00DB4822" w:rsidTr="00DB4822">
        <w:tc>
          <w:tcPr>
            <w:tcW w:w="9854" w:type="dxa"/>
          </w:tcPr>
          <w:p w:rsidR="00DB4822" w:rsidRPr="00DB4822" w:rsidRDefault="00DB4822" w:rsidP="004D7940">
            <w:pPr>
              <w:pStyle w:val="Konzulensek"/>
            </w:pPr>
            <w:r w:rsidRPr="00DB4822">
              <w:t>Endre Kálmán Dr.</w:t>
            </w:r>
          </w:p>
          <w:p w:rsidR="00DB4822" w:rsidRDefault="00DB4822" w:rsidP="00E11062">
            <w:pPr>
              <w:pStyle w:val="Konzulensek"/>
            </w:pPr>
            <w:r w:rsidRPr="00DB4822">
              <w:t>senior clinical doctor,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probable etiological role of Merkel cell polyomavirus in Merkel cell carcinoma - clinicopathological and virological observations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Contagious viral agents were shown to play an etiological role in the 20% of human tumors. Merkel cell carcinoma (MCC) is a rare, highly aggressive, fast metastasizing skin tumor that has been suggested to originate from the epithelial stratum basale. It generally affects elderly, immunocompromised persons in sun exposed areas, especially in the head and neck regions. Its incidence increases rapidly, and often causes differential diagnostic difficulties. In 2008, a DNA tumor virus integrating into the genome of the host cell, named Merkel cell polyomavirus (MC) was identified in MCCs that shed light on the etiology of the tumor. We aimed to detect MC virus and reveal its contribution to clinicopathological features.</w:t>
      </w:r>
    </w:p>
    <w:p>
      <w:pPr>
        <w:widowControl w:val="on"/>
        <w:pBdr/>
        <w:spacing w:before="240" w:after="240" w:line="240" w:lineRule="auto"/>
        <w:ind w:left="0" w:right="0"/>
        <w:jc w:val="left"/>
      </w:pPr>
      <w:r>
        <w:rPr>
          <w:color w:val="000000"/>
          <w:sz w:val="24"/>
          <w:szCs w:val="24"/>
        </w:rPr>
        <w:t xml:space="preserve">Methods: We investigated eight MCC cases (altogether 15 samples) diagnosed in the Department of Pathology, University of Pécs, between 2007 and 2012. The presence of MC was tested in native and formalin embedded samples collected from the primary skin lesions, lymph nodes and cutan metastases and MCC neighboring basal or squamous cell carcinomas, by PCR method. Clinicopathological characteristics as age, histological pattern, lymphovascular invasion and comorbodities of MC+ and MC- cases were investigated.</w:t>
      </w:r>
    </w:p>
    <w:p>
      <w:pPr>
        <w:widowControl w:val="on"/>
        <w:pBdr/>
        <w:spacing w:before="240" w:after="240" w:line="240" w:lineRule="auto"/>
        <w:ind w:left="0" w:right="0"/>
        <w:jc w:val="left"/>
      </w:pPr>
      <w:r>
        <w:rPr>
          <w:color w:val="000000"/>
          <w:sz w:val="24"/>
          <w:szCs w:val="24"/>
        </w:rPr>
        <w:t xml:space="preserve">Results: MC was detected in three (37.5%) out of eight patients’ primary tumor or metastasis. Histological pattern was found different between the two groups. Virus positive cases were associated with better clinical outcomes. In one case, the entire, 5392 nucleotide long genome of the MC (GenBank: KC202810) was determined from a 70-year-old patient’s lymph node metastasis that differed in 10 nucleotides (0.19%) from the prototype MC. A truncated mutation was found at nucleotide position 1461 (timin from citozin) of the large T antigen of the viral genome, which causes stop codon and is thought to abandon viral replication and play an important role in abnormal cell proliferation.</w:t>
      </w:r>
    </w:p>
    <w:p>
      <w:pPr>
        <w:widowControl w:val="on"/>
        <w:pBdr/>
        <w:spacing w:before="240" w:after="240" w:line="240" w:lineRule="auto"/>
        <w:ind w:left="0" w:right="0"/>
        <w:jc w:val="left"/>
      </w:pPr>
      <w:r>
        <w:rPr>
          <w:color w:val="000000"/>
          <w:sz w:val="24"/>
          <w:szCs w:val="24"/>
        </w:rPr>
        <w:t xml:space="preserve">Conclusion: MCC is a novel clinical entity with a supposedly oncogenic microbial background. The contagious etiology of this aggressive carcinoma results in a paradigm shift concerning its pathogenesis, diagnostics, therapy and prevention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02378">
    <w:multiLevelType w:val="hybridMultilevel"/>
    <w:lvl w:ilvl="0" w:tplc="23948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02378">
    <w:abstractNumId w:val="69802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726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