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HORVÁTH-SZALAI</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Kőszegi </w:t>
            </w:r>
          </w:p>
          <w:p w:rsidR="00DB4822" w:rsidRDefault="00DB4822" w:rsidP="00E11062">
            <w:pPr>
              <w:pStyle w:val="Konzulensek"/>
            </w:pPr>
            <w:r w:rsidRPr="00DB4822">
              <w:t>  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potential biomarker in sepsis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Except procalcitonin, the specificity and predictive value of biochemical markers in early diagnosis and monitoring of sepsis is poor. In severe sepsis and septic shock the necrotizing cells release actin in excess into the circulation which is eliminated by plasma gelsolin and other actin binding proteins. When the amount of released actin exceeds the elimination capacity, gelsolin concentration decreases in the blood. Free actin promotes development of multi organ failure (MOF) in the patients.</w:t>
      </w:r>
      <w:r>
        <w:rPr>
          <w:color w:val="000000"/>
          <w:sz w:val="24"/>
          <w:szCs w:val="24"/>
        </w:rPr>
        <w:br/>
        <w:t xml:space="preserve">Methods: In our study we monitored serum actin and gelsolin levels in septic patients for 3 – 6 days (n = 10 patients) and tried to find correlation between classic laboratory parameters and outcome of the disease (predictive value). Sera were electrophoretized by SDS-PAG (Laemmli) where 10 μg protein for gelsolin and 30 μg protein for actin detection were applied. After separated proteins were transferred to nitrocellulose membranes relative amounts of actin and gelsolin were determined by quantitative enhanced chemiluminescent (ECL) western blot. The signals of the samples were referred to that of an internal standard (serum of a healthy individual) and data were given as ECL ratios.</w:t>
      </w:r>
      <w:r>
        <w:rPr>
          <w:color w:val="000000"/>
          <w:sz w:val="24"/>
          <w:szCs w:val="24"/>
        </w:rPr>
        <w:br/>
        <w:t xml:space="preserve">Results: Septic patients showed decreased gelsolin levels (20 – 50%) compared to the control. Furthermore, when actin ECL ratios were referred to gelsolin ECL ratios (A/G ECL ratio), data for surviving patients were only 2 – 3 times higher than 1,0 (arbitrary unit of control) while non surviving patients showed 8 – 16 times higher values than that of the control. Based on COX regression analysis A/G ECL ratios showed better positive predictive values and closer correlation with survival rates than CRP and procalcitonin data.</w:t>
      </w:r>
      <w:r>
        <w:rPr>
          <w:color w:val="000000"/>
          <w:sz w:val="24"/>
          <w:szCs w:val="24"/>
        </w:rPr>
        <w:br/>
        <w:t xml:space="preserve">Conclusion: The A/G ECL ratio gives data on the overall catabolic state of septic patients predicting the outcome of the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37272">
    <w:multiLevelType w:val="hybridMultilevel"/>
    <w:lvl w:ilvl="0" w:tplc="46186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37272">
    <w:abstractNumId w:val="89537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589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