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w:t>
            </w:r>
          </w:p>
          <w:p w:rsidR="00C275A3" w:rsidRDefault="00A96AEC" w:rsidP="00C275A3">
            <w:pPr>
              <w:pStyle w:val="Hallgatokepzes"/>
            </w:pPr>
            <w:r>
              <w:t>-</w:t>
            </w:r>
            <w:r>
              <w:br/>
            </w:r>
            <w:r w:rsidR="00E77B23">
              <w:t>Unified, 11. semester</w:t>
            </w:r>
          </w:p>
          <w:p w:rsidR="00C265CE" w:rsidRPr="009E5FF1" w:rsidRDefault="00E77B23" w:rsidP="00C275A3">
            <w:pPr>
              <w:pStyle w:val="Hallgatokepzes"/>
              <w:rPr>
                <w:b/>
                <w:caps/>
              </w:rPr>
            </w:pPr>
            <w:r>
              <w:t>University of Pécs</w:t>
            </w:r>
            <w:r w:rsidR="00C275A3">
              <w:br/>
            </w:r>
            <w:r w:rsidR="00DB4822">
              <w:t>Medical School</w:t>
            </w:r>
          </w:p>
        </w:tc>
        <w:tc>
          <w:tcPr>
            <w:tcW w:w="4914" w:type="dxa"/>
          </w:tcPr>
          <w:p w:rsidR="00DB4822" w:rsidRPr="00DB4822" w:rsidRDefault="00DB4822" w:rsidP="004D7940">
            <w:pPr>
              <w:pStyle w:val="Hallgatonev"/>
              <w:rPr>
                <w:caps/>
              </w:rPr>
            </w:pPr>
            <w:r w:rsidRPr="00DB4822">
              <w:rPr>
                <w:caps/>
              </w:rPr>
              <w:t>DANIEL KARDOS</w:t>
            </w:r>
          </w:p>
          <w:p w:rsidR="00DB4822" w:rsidRDefault="00C275A3" w:rsidP="004D7940">
            <w:pPr>
              <w:pStyle w:val="Hallgatokepzes"/>
            </w:pPr>
            <w:r>
              <w:t>General Medicine</w:t>
            </w:r>
            <w:r w:rsidR="00A96AEC">
              <w:br/>
              <w:t>Unified, 11. semester</w:t>
            </w:r>
          </w:p>
          <w:p w:rsidR="00DB4822" w:rsidRDefault="00DB4822" w:rsidP="004D7940">
            <w:pPr>
              <w:pStyle w:val="Hallgatointezmeny-kar"/>
            </w:pPr>
            <w:r>
              <w:t>University of Pécs</w:t>
            </w:r>
          </w:p>
          <w:p w:rsidR="00C265CE" w:rsidRPr="009E5FF1" w:rsidRDefault="00DB4822" w:rsidP="004D7940">
            <w:pPr>
              <w:pStyle w:val="Hallgatointezmeny-kar"/>
              <w:rPr>
                <w:b/>
                <w:caps/>
              </w:rPr>
            </w:pPr>
            <w:r>
              <w:t>Medical School</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Peter Vajda, M.D.</w:t>
            </w:r>
          </w:p>
          <w:p w:rsidR="00DB4822" w:rsidRDefault="00DB4822" w:rsidP="00E11062">
            <w:pPr>
              <w:pStyle w:val="Konzulensek"/>
            </w:pPr>
            <w:r w:rsidRPr="00DB4822">
              <w:t>assistant professor, PTE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Changes in bone metabolism after different types of urinary bladder augmentation performed in childhood and adolescence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Introduction: Between 1987 and 2012, 92 urinary bladder augmentation procedures were performed at the authors’ institute. One of the most important questions is that what kind of changes can occur in developing juveniles due to the absorptive and secretory function of the implanted gastric or bowel segment. The aim of our study was to investigate how different types of urinary bladder augmentation affect bone metabolism in a long term follow-up study.</w:t>
      </w:r>
      <w:r>
        <w:rPr>
          <w:color w:val="000000"/>
          <w:sz w:val="24"/>
          <w:szCs w:val="24"/>
        </w:rPr>
        <w:br/>
        <w:t xml:space="preserve">Methods: Eighty patients were included in this prospective study, in whom kidney function was normal and the augmentation was performed more than 2 years ago. Blood, urine, DEXA parameters and anthropometric data were collected preoperatively and in the postoperative period (after 2, 3-7 and 8 years). Gastrocystoplasties (GCP) were performed in 15, ileocystoplasties (ICP) in 32 and colocystoplasties (CCP) in 33 cases. Variables before and after surgery and the types of cystoplasties were compared. For statistical analysis one sided two samples t-test, ANOVA and independence test were used.</w:t>
      </w:r>
      <w:r>
        <w:rPr>
          <w:color w:val="000000"/>
          <w:sz w:val="24"/>
          <w:szCs w:val="24"/>
        </w:rPr>
        <w:br/>
        <w:t xml:space="preserve">Results: Correlation was found between the height and types of cystoplasties postoperatively (p&lt;0,05). Regardless the type of augmentation, calcium concentration in the urine was significantly higher following surgery. Serum calcium levels were significantly reduced after GCP and CCP, in contrast with ICP, where a significant increase has occurred. Significant decrease in serum phosphate has been found in each type of surgeries. Following GCP the pH, standard bicarbonate and base excess were significantly higher postoperatively. Bone mineral density significantly elevated following ICP. Between DEXA Z-sores and the type of surgery, no correlations have been found.</w:t>
      </w:r>
      <w:r>
        <w:rPr>
          <w:color w:val="000000"/>
          <w:sz w:val="24"/>
          <w:szCs w:val="24"/>
        </w:rPr>
        <w:br/>
        <w:t xml:space="preserve">Conclusion: Type of the implanted gastrointestinal segment influences the body growth variously. Patients with gastro- and colocystoplasty have shown more extreme changes in their bone metabolism, in contrast to ileocystoplasty. According to our findings, ileocystoplasty would be the best option for bladder augmentation in children. Our present study proposes further investigations about the changes in the bone metabolism related to the underlying diseases.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7374320">
    <w:multiLevelType w:val="hybridMultilevel"/>
    <w:lvl w:ilvl="0" w:tplc="2759764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7374320">
    <w:abstractNumId w:val="4737432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3460580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