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DIÓSI</w:t>
            </w:r>
          </w:p>
          <w:p w:rsidR="00C275A3" w:rsidRDefault="00A96AEC" w:rsidP="00C275A3">
            <w:pPr>
              <w:pStyle w:val="Hallgatokepzes"/>
            </w:pPr>
            <w:r>
              <w:t>Medicine</w:t>
            </w:r>
            <w:r>
              <w:br/>
            </w:r>
            <w:r w:rsidR="00E77B23">
              <w:t>Unified, 8.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HANNA ÁGOTA FODOR</w:t>
            </w:r>
          </w:p>
          <w:p w:rsidR="00DB4822" w:rsidRDefault="00C275A3" w:rsidP="004D7940">
            <w:pPr>
              <w:pStyle w:val="Hallgatokepzes"/>
            </w:pPr>
            <w:r>
              <w:t>Medicine</w:t>
            </w:r>
            <w:r w:rsidR="00A96AEC">
              <w:br/>
              <w:t>Unified, 8.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Luca Mendler MD PhD</w:t>
            </w:r>
          </w:p>
          <w:p w:rsidR="00DB4822" w:rsidRDefault="00DB4822" w:rsidP="00E11062">
            <w:pPr>
              <w:pStyle w:val="Konzulensek"/>
            </w:pPr>
            <w:r w:rsidRPr="00DB4822">
              <w:t>assistant professor, SZTE ÁOK</w:t>
            </w:r>
          </w:p>
        </w:tc>
      </w:tr>
      <w:tr w:rsidR="00DB4822" w:rsidTr="00DB4822">
        <w:tc>
          <w:tcPr>
            <w:tcW w:w="9854" w:type="dxa"/>
          </w:tcPr>
          <w:p w:rsidR="00DB4822" w:rsidRPr="00DB4822" w:rsidRDefault="00DB4822" w:rsidP="004D7940">
            <w:pPr>
              <w:pStyle w:val="Konzulensek"/>
            </w:pPr>
            <w:r w:rsidRPr="00DB4822">
              <w:t>Anikó Keller-Pintér MD PhD</w:t>
            </w:r>
          </w:p>
          <w:p w:rsidR="00DB4822" w:rsidRDefault="00DB4822" w:rsidP="00E11062">
            <w:pPr>
              <w:pStyle w:val="Konzulensek"/>
            </w:pPr>
            <w:r w:rsidRPr="00DB4822">
              <w:t>research fellow,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Compact mutation of myostatin causes a glycolytic shift in the phenotype of skeletal muscles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Myostatin is an important negative regulator of skeletal muscle growth. Compact (Cmpt) mice, similar to the myostatin knock out animals, are characterized by hypermuscularity. The naturally occuring Cmpt mutation comprises a 12-bp deletion in the propeptide region of myostatin, however, modifier genes are also involved in the full penetration of the phenotype. Previously, we demonstrated that the hypermuscularity of the Cmpt mice was characterized exclusively by fiber hyperplasia without any sign of hypertrophy. In the present work we analyzed the fiber type composition of skeletal muscles in Cmpt mice.</w:t>
      </w:r>
    </w:p>
    <w:p>
      <w:pPr>
        <w:widowControl w:val="on"/>
        <w:pBdr/>
        <w:spacing w:before="240" w:after="240" w:line="240" w:lineRule="auto"/>
        <w:ind w:left="0" w:right="0"/>
        <w:jc w:val="left"/>
      </w:pPr>
      <w:r>
        <w:rPr>
          <w:color w:val="000000"/>
          <w:sz w:val="24"/>
          <w:szCs w:val="24"/>
        </w:rPr>
        <w:t xml:space="preserve">Methods: Hindlimb muscles of ten-week old male Cmpt and wild type mice (n=3-5) were removed and frozen in isopentane/liquid nitrogen. Immunostaining was carried out on 10 µm serial cryosections of the fast type tibialis anterior muscles (TA): fibers containing either the oxidative myosin heavy chain (MHC) IIA or the glycolytic MHCIIB isoforms were identified by specific antibodies, while the ones not stained by any antibody were defined as the oxidative-glycolytic MHCIIX positive muscle fibers. We analyzed the number and size of the different muscle fiber types in 4-7 representative microscopic fields of each cross-sectional area by Digimizer software. On the other hand, transcript levels of MHC isoforms were investigated by isolating total RNA from the contralateral TA muscles followed by qRT-PCR analysis using HPRT as an internal control.</w:t>
      </w:r>
    </w:p>
    <w:p>
      <w:pPr>
        <w:widowControl w:val="on"/>
        <w:pBdr/>
        <w:spacing w:before="240" w:after="240" w:line="240" w:lineRule="auto"/>
        <w:ind w:left="0" w:right="0"/>
        <w:jc w:val="left"/>
      </w:pPr>
      <w:r>
        <w:rPr>
          <w:color w:val="000000"/>
          <w:sz w:val="24"/>
          <w:szCs w:val="24"/>
        </w:rPr>
        <w:t xml:space="preserve">Results: Immunohistochemical analysis revealed a significant increase in the number of the glycolytic IIB fibers (80,3%±3,3 vs. 50,3%±3,3, mean±SEM) while the proportion of the more oxidative IIX and IIA fibers decreased significantly (IIX: 19%±3,2 vs. 46,4%±2,6, IIA: 0,65%±0,05 vs. 3,3%±0,09) in Cmpt mice compared to the wild type. The transcript levels of the MHC isoforms changed in accordance with our immunohistochemical results. In contrast, the size of the different fiber types was similar in the two mouse lines.</w:t>
      </w:r>
    </w:p>
    <w:p>
      <w:pPr>
        <w:widowControl w:val="on"/>
        <w:pBdr/>
        <w:spacing w:before="240" w:after="240" w:line="240" w:lineRule="auto"/>
        <w:ind w:left="0" w:right="0"/>
        <w:jc w:val="left"/>
      </w:pPr>
      <w:r>
        <w:rPr>
          <w:color w:val="000000"/>
          <w:sz w:val="24"/>
          <w:szCs w:val="24"/>
        </w:rPr>
        <w:t xml:space="preserve">Conclusion: The hypermuscular phenotype of the Cmpt mice is characterized by an increased number of glycolytic muscle fibers regulated at the transcript level. The physiological/pathological significance of this phenomenon is unknown so far.</w:t>
      </w:r>
    </w:p>
    <w:p>
      <w:pPr>
        <w:widowControl w:val="on"/>
        <w:pBdr/>
        <w:spacing w:before="240" w:after="240" w:line="240" w:lineRule="auto"/>
        <w:ind w:left="0" w:right="0"/>
        <w:jc w:val="left"/>
      </w:pPr>
      <w:r>
        <w:rPr>
          <w:color w:val="000000"/>
          <w:sz w:val="24"/>
          <w:szCs w:val="24"/>
        </w:rPr>
        <w:t xml:space="preserve">Grant support: TÁMOP-4.2.2/B-10/1-2010-0012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641144">
    <w:multiLevelType w:val="hybridMultilevel"/>
    <w:lvl w:ilvl="0" w:tplc="431091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641144">
    <w:abstractNumId w:val="886411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14567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