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MAKAI</w:t>
            </w:r>
          </w:p>
          <w:p w:rsidR="00C275A3" w:rsidRDefault="00A96AEC" w:rsidP="00C275A3">
            <w:pPr>
              <w:pStyle w:val="Hallgatokepzes"/>
            </w:pPr>
            <w:r>
              <w:t>Faculty of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Emőke Endreffy</w:t>
            </w:r>
          </w:p>
          <w:p w:rsidR="00DB4822" w:rsidRDefault="00DB4822" w:rsidP="00E11062">
            <w:pPr>
              <w:pStyle w:val="Konzulensek"/>
            </w:pPr>
            <w:r w:rsidRPr="00DB4822">
              <w:t>scientific adviser, SZTE ÁOK</w:t>
            </w:r>
          </w:p>
        </w:tc>
      </w:tr>
      <w:tr w:rsidR="00DB4822" w:rsidTr="00DB4822">
        <w:tc>
          <w:tcPr>
            <w:tcW w:w="9854" w:type="dxa"/>
          </w:tcPr>
          <w:p w:rsidR="00DB4822" w:rsidRPr="00DB4822" w:rsidRDefault="00DB4822" w:rsidP="004D7940">
            <w:pPr>
              <w:pStyle w:val="Konzulensek"/>
            </w:pPr>
            <w:r w:rsidRPr="00DB4822">
              <w:t>Dr. Tibor Kalmár</w:t>
            </w:r>
          </w:p>
          <w:p w:rsidR="00DB4822" w:rsidRDefault="00DB4822" w:rsidP="00E11062">
            <w:pPr>
              <w:pStyle w:val="Konzulensek"/>
            </w:pPr>
            <w:r w:rsidRPr="00DB4822">
              <w:t>senior research fellow, SZTE ÁOK</w:t>
            </w:r>
          </w:p>
        </w:tc>
      </w:tr>
      <w:tr w:rsidR="00DB4822" w:rsidTr="00DB4822">
        <w:tc>
          <w:tcPr>
            <w:tcW w:w="9854" w:type="dxa"/>
          </w:tcPr>
          <w:p w:rsidR="00DB4822" w:rsidRPr="00DB4822" w:rsidRDefault="00DB4822" w:rsidP="004D7940">
            <w:pPr>
              <w:pStyle w:val="Konzulensek"/>
            </w:pPr>
            <w:r w:rsidRPr="00DB4822">
              <w:t> Dr. Zoltán Maróti</w:t>
            </w:r>
          </w:p>
          <w:p w:rsidR="00DB4822" w:rsidRDefault="00DB4822" w:rsidP="00E11062">
            <w:pPr>
              <w:pStyle w:val="Konzulensek"/>
            </w:pPr>
            <w:r w:rsidRPr="00DB4822">
              <w:t> 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molecular genetic testing of Marfan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Marfan syndrome (MFS) is a systemic disorder of connective tissue (prevalence 1-5/10 000) with different combinations of cardiovascular, muscle-bone, ophthalmological and lung manifestations. It is inherited in an autosomal dominant manner, approximately 1/3 of affected ones with MFS have de novo mutation. Symptoms can develop at any age and with different severities. In most cases the FBN1 (15q21, fibrillin gene) and sometimes the TGFBR1 (9q22) and TGFBR2 (3p22) mutations are responsible for the disease. Previously the clinical diagnosis was based on the Ghent nosology, but nowadays the Brussels diagnostic guideline is used, however it is not easy, especially in childhood.</w:t>
      </w:r>
    </w:p>
    <w:p>
      <w:pPr>
        <w:widowControl w:val="on"/>
        <w:pBdr/>
        <w:spacing w:before="240" w:after="240" w:line="240" w:lineRule="auto"/>
        <w:ind w:left="0" w:right="0"/>
        <w:jc w:val="left"/>
      </w:pPr>
      <w:r>
        <w:rPr>
          <w:color w:val="000000"/>
          <w:sz w:val="24"/>
          <w:szCs w:val="24"/>
        </w:rPr>
        <w:t xml:space="preserve">Methods: We made the FBN1’s linkage analysis in 41 families with the microsatellite markers of the gene. The following are intragenic: MTS-1 (intron 1), MTS-2 (intron 5), MTS-3 (intron 29), MTS-4 (intron 43), and extragenic markers from different intervals of the end a 5’: D15S1028 and D15S119. Our methods: polymerase chain reaction (PCR, one of the primer pairs is labeled with Cy5) and electrophoresis. Different sizes of the PCR’s products are caused by the various dinucleotide repeat numbers, which can be detected by electrophoresis (ALFexpress II).</w:t>
      </w:r>
    </w:p>
    <w:p>
      <w:pPr>
        <w:widowControl w:val="on"/>
        <w:pBdr/>
        <w:spacing w:before="240" w:after="240" w:line="240" w:lineRule="auto"/>
        <w:ind w:left="0" w:right="0"/>
        <w:jc w:val="left"/>
      </w:pPr>
      <w:r>
        <w:rPr>
          <w:color w:val="000000"/>
          <w:sz w:val="24"/>
          <w:szCs w:val="24"/>
        </w:rPr>
        <w:t xml:space="preserve">Results: We could make the diagnosis probable in 8 (19.5 %) cases (from 41) and we could not in 18 (44%) families. Our examinations were not informative in 8 cases, because there were not enough examinable people (at least two affected and more asymptomatic) and in 7 families there was only one affected patient. In those cases the mutation scanning can confirm the diagnosis.</w:t>
      </w:r>
    </w:p>
    <w:p>
      <w:pPr>
        <w:widowControl w:val="on"/>
        <w:pBdr/>
        <w:spacing w:before="240" w:after="240" w:line="240" w:lineRule="auto"/>
        <w:ind w:left="0" w:right="0"/>
        <w:jc w:val="left"/>
      </w:pPr>
      <w:r>
        <w:rPr>
          <w:color w:val="000000"/>
          <w:sz w:val="24"/>
          <w:szCs w:val="24"/>
        </w:rPr>
        <w:t xml:space="preserve">Conclusion: We found also the “overdiagnosis” of MFS probable, and high inter- and intrafamiliar variations of the symptoms.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68464">
    <w:multiLevelType w:val="hybridMultilevel"/>
    <w:lvl w:ilvl="0" w:tplc="4417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68464">
    <w:abstractNumId w:val="18468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789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