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BALÁZS SZAKÁLY</w:t>
            </w:r>
          </w:p>
          <w:p w:rsidR="00C275A3" w:rsidRDefault="00A96AEC" w:rsidP="00C275A3">
            <w:pPr>
              <w:pStyle w:val="Hallgatokepzes"/>
            </w:pPr>
            <w:r>
              <w:t>general doctor </w:t>
            </w:r>
            <w:r>
              <w:br/>
            </w:r>
            <w:r w:rsidR="00E77B23">
              <w:t>Unified, 8. semester</w:t>
            </w:r>
          </w:p>
          <w:p w:rsidR="00C265CE" w:rsidRPr="009E5FF1" w:rsidRDefault="00E77B23" w:rsidP="00C275A3">
            <w:pPr>
              <w:pStyle w:val="Hallgatokepzes"/>
              <w:rPr>
                <w:b/>
                <w:caps/>
              </w:rPr>
            </w:pPr>
            <w:r>
              <w:t>University of Szeged</w:t>
            </w:r>
            <w:r w:rsidR="00C275A3">
              <w:br/>
            </w:r>
            <w:r w:rsidR="00DB4822">
              <w:t>Faculty of Medicine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Péter Bencsik MD PhD</w:t>
            </w:r>
          </w:p>
          <w:p w:rsidR="00DB4822" w:rsidRDefault="00DB4822" w:rsidP="00E11062">
            <w:pPr>
              <w:pStyle w:val="Konzulensek"/>
            </w:pPr>
            <w:r w:rsidRPr="00DB4822">
              <w:t>research fellow,  Pharmahungary Group Ltd.</w:t>
            </w:r>
          </w:p>
        </w:tc>
      </w:tr>
      <w:tr w:rsidR="00DB4822" w:rsidTr="00DB4822">
        <w:tc>
          <w:tcPr>
            <w:tcW w:w="9854" w:type="dxa"/>
          </w:tcPr>
          <w:p w:rsidR="00DB4822" w:rsidRPr="00DB4822" w:rsidRDefault="00DB4822" w:rsidP="004D7940">
            <w:pPr>
              <w:pStyle w:val="Konzulensek"/>
            </w:pPr>
            <w:r w:rsidRPr="00DB4822">
              <w:t>Tamás Csont MD PhD</w:t>
            </w:r>
          </w:p>
          <w:p w:rsidR="00DB4822" w:rsidRDefault="00DB4822" w:rsidP="00E11062">
            <w:pPr>
              <w:pStyle w:val="Konzulensek"/>
            </w:pPr>
            <w:r w:rsidRPr="00DB4822">
              <w:t>associate professor, SZTE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MicroRNA expression changes in capsaicin-chemodenervated rat hearts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 Sensory nerve injury may appear as a consequence of several diseases, which may serve as cardiovascular risk factors such as diabetes and dyslipidemia. Previously, our research group has shown that systemic sensory chemodenervation induced by capsaicin pretreatment decreased cardiac NO levels, thereby led to decreased peroxynitrite levels and SERCA S-nitrosylation, which was followed by impaired myocardial relaxation. In the present study, we examined the effects of sensory chemodenervation on the myocardial miRNA expression profile.</w:t>
      </w:r>
      <w:r>
        <w:rPr>
          <w:color w:val="000000"/>
          <w:sz w:val="24"/>
          <w:szCs w:val="24"/>
        </w:rPr>
        <w:br/>
        <w:t xml:space="preserve">Methods: Male Wistar rats were treated with capsaicin in increasing doses (10, 30, 50 mg/kg) or vehicle for three days. Seven days after the last treatment, hearts were isolated and perfused for 5 min in Langendorff system, then miRNAs were isolated from the heart samples. Expression pattern of 370 different miRNAs were examined using miRNA chip technology. We compared miRNA expression between capsaicin treated and vehicle control group. We validated the miRNA chip results of 10 randomly selected miRNAs using real time QPCR.</w:t>
      </w:r>
      <w:r>
        <w:rPr>
          <w:color w:val="000000"/>
          <w:sz w:val="24"/>
          <w:szCs w:val="24"/>
        </w:rPr>
        <w:br/>
        <w:t xml:space="preserve">Results: Twenty three among 370 myocardial miRNAs showed expression change in the capsaicin treated group compared to vehicle group. RT-QPCR validation confirmed the results of miRNA chip in 8 cases. In the chemodenervated hearts MiR-322, miR-134, miR-361, miR-93 and let-7c were down-regulated, while miR-370, miR-101a and miR-22a showed higher expression in the capsaicin treated group compared to the control group.</w:t>
      </w:r>
      <w:r>
        <w:rPr>
          <w:color w:val="000000"/>
          <w:sz w:val="24"/>
          <w:szCs w:val="24"/>
        </w:rPr>
        <w:br/>
        <w:t xml:space="preserve">Conclusion: We have found some corresponding data in the literature, which confirm the changes in miRNA expressions related to cardiovascular diseases (e.g. miR-322: postischemic vascular remodeling, pulmonary arterial hypertension; miR-22: hypertrophic heart failure, miR-101: myocardial remodeling). Our results may support further investigations to elicit the exact role of miRNAs in myocardial diseases caused by sensory neuropathy.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5108320">
    <w:multiLevelType w:val="hybridMultilevel"/>
    <w:lvl w:ilvl="0" w:tplc="7809958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5108320">
    <w:abstractNumId w:val="651083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7162590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