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CSENGE CSORBA</w:t>
            </w:r>
          </w:p>
          <w:p w:rsidR="00C275A3" w:rsidRDefault="00A96AEC" w:rsidP="00C275A3">
            <w:pPr>
              <w:pStyle w:val="Hallgatokepzes"/>
            </w:pPr>
            <w:r>
              <w:t>Medicine</w:t>
            </w:r>
            <w:r>
              <w:br/>
            </w:r>
            <w:r w:rsidR="00E77B23">
              <w:t>Unified, 8.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ALEXANDRA DEMCSÁK</w:t>
            </w:r>
          </w:p>
          <w:p w:rsidR="00DB4822" w:rsidRDefault="00C275A3" w:rsidP="004D7940">
            <w:pPr>
              <w:pStyle w:val="Hallgatokepzes"/>
            </w:pPr>
            <w:r>
              <w:t>Medicine</w:t>
            </w:r>
            <w:r w:rsidR="00A96AEC">
              <w:br/>
              <w:t>Unified, 8.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Anikó Keller-Pintér MD PhD</w:t>
            </w:r>
          </w:p>
          <w:p w:rsidR="00DB4822" w:rsidRDefault="00DB4822" w:rsidP="00E11062">
            <w:pPr>
              <w:pStyle w:val="Konzulensek"/>
            </w:pPr>
            <w:r w:rsidRPr="00DB4822">
              <w:t>research fellow, SZTE ÁOK</w:t>
            </w:r>
          </w:p>
        </w:tc>
      </w:tr>
      <w:tr w:rsidR="00DB4822" w:rsidTr="00DB4822">
        <w:tc>
          <w:tcPr>
            <w:tcW w:w="9854" w:type="dxa"/>
          </w:tcPr>
          <w:p w:rsidR="00DB4822" w:rsidRPr="00DB4822" w:rsidRDefault="00DB4822" w:rsidP="004D7940">
            <w:pPr>
              <w:pStyle w:val="Konzulensek"/>
            </w:pPr>
            <w:r w:rsidRPr="00DB4822">
              <w:t>Luca Mendler MD PhD</w:t>
            </w:r>
          </w:p>
          <w:p w:rsidR="00DB4822" w:rsidRDefault="00DB4822" w:rsidP="00E11062">
            <w:pPr>
              <w:pStyle w:val="Konzulensek"/>
            </w:pPr>
            <w:r w:rsidRPr="00DB4822">
              <w:t>assistant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in tissue glycogen distribution in a hypermuscular mouse model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Signalling pathways playing role in the determination of organ size are poorly understood. Myostatin is the main negative regulator of skeletal muscle mass and it has systemic metabolic effects as well (e.g. involving adipose tissue, glucose metabolism). Our aim was the morphological and morphometrical analysis of the skeletal muscle and liver samples of the Compact mice with special regard to their glycogen content.</w:t>
      </w:r>
    </w:p>
    <w:p>
      <w:pPr>
        <w:widowControl w:val="on"/>
        <w:pBdr/>
        <w:spacing w:before="240" w:after="240" w:line="240" w:lineRule="auto"/>
        <w:ind w:left="0" w:right="0"/>
        <w:jc w:val="left"/>
      </w:pPr>
      <w:r>
        <w:rPr>
          <w:color w:val="000000"/>
          <w:sz w:val="24"/>
          <w:szCs w:val="24"/>
        </w:rPr>
        <w:t xml:space="preserve">Methods: We determined the total glycogen content of tibialis anterior (TA) muscles and livers of male Compact and wild type mices (10 weeks) by spectrophotometry. Frozen sections were stained by PAS to visualize glycogen, while the different muscle fiber types were analyzed by immunohistochemistry. The full cross sectional areas of the muscles were reconstructed from the microscopic photos, the size of the fibers was measured by Digimizer software and the intensity of PAS staining was analyzed densitometrically on greyscale-converted images.</w:t>
      </w:r>
    </w:p>
    <w:p>
      <w:pPr>
        <w:widowControl w:val="on"/>
        <w:pBdr/>
        <w:spacing w:before="240" w:after="240" w:line="240" w:lineRule="auto"/>
        <w:ind w:left="0" w:right="0"/>
        <w:jc w:val="left"/>
      </w:pPr>
      <w:r>
        <w:rPr>
          <w:color w:val="000000"/>
          <w:sz w:val="24"/>
          <w:szCs w:val="24"/>
        </w:rPr>
        <w:t xml:space="preserve">Results: The absolute weight of TA muscles and liver significantly increased in Compact animals compared to wild types; however, the liver weight normalized to body weight significantly decreased. The whole glycogen amount significantly increased either in TA muscles (43,6±2,4 vs. 28,7±0,7681*10</w:t>
      </w:r>
      <w:r>
        <w:rPr>
          <w:color w:val="000000"/>
          <w:position w:val="4"/>
          <w:sz w:val="21"/>
          <w:szCs w:val="21"/>
          <w:vertAlign w:val="superscript"/>
        </w:rPr>
        <w:t xml:space="preserve">-2</w:t>
      </w:r>
      <w:r>
        <w:rPr>
          <w:color w:val="000000"/>
          <w:sz w:val="24"/>
          <w:szCs w:val="24"/>
        </w:rPr>
        <w:t xml:space="preserve"> mg, mean±SEM, n=3-4, p&lt;0,01) or in liver (103±9,6 vs. 19,1±4,9 mg, n=6-7, p&lt;0,0001). The Compact mutation had no effect on the glycogen content of the different fiber types. Among the fast fibers, the type IIB fibers contained the most glycogen in both Compacts and wild type animals. The average glycogen concentration significantly decreased in TA muscles (3,72±0,23 vs. 5,52±0,24 mg/g, n=3-4, p&lt;0,01); however, in case of the liver it increased significantly (52,06±3,8 vs. 14,45±3,1 mg/g, n=6-7, p&lt;0,0001).</w:t>
      </w:r>
    </w:p>
    <w:p>
      <w:pPr>
        <w:widowControl w:val="on"/>
        <w:pBdr/>
        <w:spacing w:before="240" w:after="240" w:line="240" w:lineRule="auto"/>
        <w:ind w:left="0" w:right="0"/>
        <w:jc w:val="left"/>
      </w:pPr>
      <w:r>
        <w:rPr>
          <w:color w:val="000000"/>
          <w:sz w:val="24"/>
          <w:szCs w:val="24"/>
        </w:rPr>
        <w:t xml:space="preserve">Conclusion: The Compact mutation has opposite effects on the relative weight and glycogen concentration of skeletal muscles and liver. The decreased glycogen concentration of Compact muscles can explain the lack of proportionate muscle force increase observed previously.</w:t>
      </w:r>
    </w:p>
    <w:p>
      <w:pPr>
        <w:widowControl w:val="on"/>
        <w:pBdr/>
        <w:spacing w:before="240" w:after="240" w:line="240" w:lineRule="auto"/>
        <w:ind w:left="0" w:right="0"/>
        <w:jc w:val="left"/>
      </w:pPr>
      <w:r>
        <w:rPr>
          <w:color w:val="000000"/>
          <w:sz w:val="24"/>
          <w:szCs w:val="24"/>
        </w:rPr>
        <w:t xml:space="preserve">Grant support: TÁMOP-4.2.2/B-10/1-2010-0012.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94207">
    <w:multiLevelType w:val="hybridMultilevel"/>
    <w:lvl w:ilvl="0" w:tplc="976003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94207">
    <w:abstractNumId w:val="998942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45540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