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MARTONOSI ÁGNES RITA</w:t>
            </w:r>
          </w:p>
          <w:p w:rsidR="00C275A3" w:rsidRDefault="00A96AEC" w:rsidP="00C275A3">
            <w:pPr>
              <w:pStyle w:val="Hallgatokepzes"/>
            </w:pPr>
            <w:r>
              <w:t>általános orvos </w:t>
            </w:r>
            <w:r>
              <w:br/>
            </w:r>
            <w:r w:rsidR="00E77B23">
              <w:t>Osztatlan, 10. félév</w:t>
            </w:r>
          </w:p>
          <w:p w:rsidR="00C265CE" w:rsidRPr="009E5FF1" w:rsidRDefault="00E77B23" w:rsidP="00C275A3">
            <w:pPr>
              <w:pStyle w:val="Hallgatokepzes"/>
              <w:rPr>
                <w:b/>
                <w:caps/>
              </w:rPr>
            </w:pPr>
            <w:r>
              <w:t>Szegedi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ROBIN AMANDA LIANG</w:t>
            </w:r>
          </w:p>
          <w:p w:rsidR="00DB4822" w:rsidRDefault="00C275A3" w:rsidP="004D7940">
            <w:pPr>
              <w:pStyle w:val="Hallgatokepzes"/>
            </w:pPr>
            <w:r>
              <w:t>általános orvos</w:t>
            </w:r>
            <w:r w:rsidR="00A96AEC">
              <w:br/>
              <w:t>Osztatlan, 10. félév</w:t>
            </w:r>
          </w:p>
          <w:p w:rsidR="00DB4822" w:rsidRDefault="00DB4822" w:rsidP="004D7940">
            <w:pPr>
              <w:pStyle w:val="Hallgatointezmeny-kar"/>
            </w:pPr>
            <w:r>
              <w:t>Szegedi Tudományegyetem</w:t>
            </w:r>
          </w:p>
          <w:p w:rsidR="00C265CE" w:rsidRPr="009E5FF1" w:rsidRDefault="00DB4822" w:rsidP="004D7940">
            <w:pPr>
              <w:pStyle w:val="Hallgatointezmeny-kar"/>
              <w:rPr>
                <w:b/>
                <w:caps/>
              </w:rPr>
            </w:pPr>
            <w:r>
              <w:t>Általános Orvostudományi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STIG MANFRED DALEN</w:t>
            </w:r>
          </w:p>
          <w:p w:rsidR="00C275A3" w:rsidRDefault="00A96AEC" w:rsidP="00C275A3">
            <w:pPr>
              <w:pStyle w:val="Hallgatokepzes"/>
            </w:pPr>
            <w:r>
              <w:t>általános orvos</w:t>
            </w:r>
            <w:r>
              <w:br/>
            </w:r>
            <w:r w:rsidR="00E77B23">
              <w:t>Osztatlan, 10. félév</w:t>
            </w:r>
          </w:p>
          <w:p w:rsidR="00C265CE" w:rsidRPr="009E5FF1" w:rsidRDefault="00E77B23" w:rsidP="00C275A3">
            <w:pPr>
              <w:pStyle w:val="Hallgatokepzes"/>
              <w:rPr>
                <w:b/>
                <w:caps/>
              </w:rPr>
            </w:pPr>
            <w:r>
              <w:t>Szegedi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Jancsó Gábor</w:t>
            </w:r>
          </w:p>
          <w:p w:rsidR="00DB4822" w:rsidRDefault="00DB4822" w:rsidP="00E11062">
            <w:pPr>
              <w:pStyle w:val="Konzulensek"/>
            </w:pPr>
            <w:r w:rsidRPr="00DB4822">
              <w:t>egyetemi tanár, SZTE ÁOK</w:t>
            </w:r>
          </w:p>
        </w:tc>
      </w:tr>
      <w:tr w:rsidR="00DB4822" w:rsidTr="00DB4822">
        <w:tc>
          <w:tcPr>
            <w:tcW w:w="9854" w:type="dxa"/>
          </w:tcPr>
          <w:p w:rsidR="00DB4822" w:rsidRPr="00DB4822" w:rsidRDefault="00DB4822" w:rsidP="004D7940">
            <w:pPr>
              <w:pStyle w:val="Konzulensek"/>
            </w:pPr>
            <w:r w:rsidRPr="00DB4822">
              <w:t>Dr. Dux Mária</w:t>
            </w:r>
          </w:p>
          <w:p w:rsidR="00DB4822" w:rsidRDefault="00DB4822" w:rsidP="00E11062">
            <w:pPr>
              <w:pStyle w:val="Konzulensek"/>
            </w:pPr>
            <w:r w:rsidRPr="00DB4822">
              <w:t>egyetemi docens, SZTE ÁOK</w:t>
            </w:r>
          </w:p>
        </w:tc>
      </w:tr>
      <w:tr w:rsidR="00DB4822" w:rsidTr="00DB4822">
        <w:tc>
          <w:tcPr>
            <w:tcW w:w="9854" w:type="dxa"/>
          </w:tcPr>
          <w:p w:rsidR="00DB4822" w:rsidRPr="00DB4822" w:rsidRDefault="00DB4822" w:rsidP="004D7940">
            <w:pPr>
              <w:pStyle w:val="Konzulensek"/>
            </w:pPr>
            <w:r w:rsidRPr="00DB4822">
              <w:t>Dr. Boros Krisztina</w:t>
            </w:r>
          </w:p>
          <w:p w:rsidR="00DB4822" w:rsidRDefault="00DB4822" w:rsidP="00E11062">
            <w:pPr>
              <w:pStyle w:val="Konzulensek"/>
            </w:pPr>
            <w:r w:rsidRPr="00DB4822">
              <w:t>egyetemi tanársegéd,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szenzoros neurogén vazodilatáció károsodása patkány kemény agyhártyájában adriamycin kezelést követően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Az adriamycin, egy anthracyclin típusú vegyület, citosztatikus hatása mellett jelentős, a szenzoros idegekre kifejtett neurotoxikus hatással is rendelkezik. Jelen vizsgálataink célját az adriamycinnek a kemoszenzitív érző idegek szenzoros vazomotor funkciójára kifejtett hatásának vizsgálata képezte. Kísérleteinkben a capsacin/tranziens receptor potenciál vanilloid 1 típusú (TRPV1) receptor aktiválásával kiváltott meningeális szenzoros neurogén vaszkuláris reakciókat vizsgáltuk kontroll és adriamycinnel kezelt állatokban.</w:t>
      </w:r>
      <w:r>
        <w:rPr>
          <w:color w:val="000000"/>
          <w:sz w:val="24"/>
          <w:szCs w:val="24"/>
        </w:rPr>
        <w:br/>
        <w:t xml:space="preserve">Módszerek: Kísérleteinket a meningeális véráramlás vizsgálatára általánosan elfogadott állatmodelleken végeztük. Az állatok egy csoportját a kísérletes cardiomyopathia előidézésére is alkalmas kumulatív dózisban adriamycinnel (15 mg/kg, i.v.), másik csoportját pedig oldószerrel kezeltük. In vivo vizsgálatainkban patkány nyitott koponya-ablak preparátumon lézer Doppler áramlásmérővel mértük a capsaicin (10-7 M) és a calcitonin gén-rokon peptid (CGRP, 10-5 M) ismételt topikális applikációjának hatását. A capsaicinnel (10-7 M) kiváltott CGRP felszabadulást ELISA módszerrel mértük in vitro dura mater preparátumokon.</w:t>
      </w:r>
      <w:r>
        <w:rPr>
          <w:color w:val="000000"/>
          <w:sz w:val="24"/>
          <w:szCs w:val="24"/>
        </w:rPr>
        <w:br/>
        <w:t xml:space="preserve">Eredmények: Kontroll állatokban mind a capsaicin, mind a CGRP ismételten kiváltható, szignifikáns meningeális véráramlás-fokozódást eredményezett. Az adriamycinnel kezelt állatokban a capsaicinnel kiváltott vazodilatáció mértéke már az első applikáció esetében is elmaradt a kontrolltól, az ismételt applikációk során pedig tovább csökkent. Az adriamycinnel kezelt állatokban az ér simaizomra direkt ható CGRP vazodilatátor hatása is szignifikánsan csökkent. Az adriamycin kezelés csökkentette az ismételt capsaicin applikációk következtében az in vitro agyhártya preparátumokból felszabaduló CGRP mennyiségét.</w:t>
      </w:r>
      <w:r>
        <w:rPr>
          <w:color w:val="000000"/>
          <w:sz w:val="24"/>
          <w:szCs w:val="24"/>
        </w:rPr>
        <w:br/>
        <w:t xml:space="preserve">Következtetés: Eredményeink arra utalnak, hogy az adriamycin kezelés nemcsak a kemoszenzitív idegek peptiderg vazomotor működését károsítja, hanem a vaszkuláris simaizom receptoriális/effektor mechanizmusait is. Vizsgálataink felvetik hasonló funkcionális károsodások többszervi kialakulásának lehetőségét az adriamycin kezelésben részesülő betegek esetében is.</w:t>
      </w:r>
      <w:r>
        <w:rPr>
          <w:color w:val="000000"/>
          <w:sz w:val="24"/>
          <w:szCs w:val="24"/>
        </w:rPr>
        <w:br/>
        <w:t xml:space="preserve">Támogatók: OTKA K-101873, TÁMOP 4.2.2.A-11/1/KONV-2012-0052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457124">
    <w:multiLevelType w:val="hybridMultilevel"/>
    <w:lvl w:ilvl="0" w:tplc="581035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457124">
    <w:abstractNumId w:val="224571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82604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