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RITA MARTONOSI</w:t>
            </w:r>
          </w:p>
          <w:p w:rsidR="00C275A3" w:rsidRDefault="00A96AEC" w:rsidP="00C275A3">
            <w:pPr>
              <w:pStyle w:val="Hallgatokepzes"/>
            </w:pPr>
            <w:r>
              <w:t>doctor medicinae universae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ROBIN AMANDA LIANG</w:t>
            </w:r>
          </w:p>
          <w:p w:rsidR="00DB4822" w:rsidRDefault="00C275A3" w:rsidP="004D7940">
            <w:pPr>
              <w:pStyle w:val="Hallgatokepzes"/>
            </w:pPr>
            <w:r>
              <w:t>doctor medicinae universae</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STIG MANFRED DALEN</w:t>
            </w:r>
          </w:p>
          <w:p w:rsidR="00C275A3" w:rsidRDefault="00A96AEC" w:rsidP="00C275A3">
            <w:pPr>
              <w:pStyle w:val="Hallgatokepzes"/>
            </w:pPr>
            <w:r>
              <w:t>doctor medicinae universae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Jancsó</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Dr. Mária Dux</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Dr. Krisztina Boros</w:t>
            </w:r>
          </w:p>
          <w:p w:rsidR="00DB4822" w:rsidRDefault="00DB4822" w:rsidP="00E11062">
            <w:pPr>
              <w:pStyle w:val="Konzulensek"/>
            </w:pPr>
            <w:r w:rsidRPr="00DB4822">
              <w:t>professor’s assistant,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Impairment of sensory neurogenic vasodilatation in the dura mater of adriamycin-treated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Adriamycin is a potent chemotherapeutic drug, that has a significant neurotoxic effect on primary sensory neurons. The aim of this study was to examine the effects of adriamycin treatment on the vasomotor function of chemosensitive afferent nerves in the rat dura mater. Therefore, we studied meningeal neurogenic vascular reactions elicited by the activation of capsaicin/transient receptor vanilloid 1 (TRPV1) receptors in control and adriamycin-treated animals in an established rat model of meningeal blood flow regulation.</w:t>
      </w:r>
      <w:r>
        <w:rPr>
          <w:color w:val="000000"/>
          <w:sz w:val="24"/>
          <w:szCs w:val="24"/>
        </w:rPr>
        <w:br/>
        <w:t xml:space="preserve">Methods: Rats were treated with a cumulative dose of 15 mg/kg adriamycin or its vehicle. In the in vivo open cranial window preparation effects of repeated topical applications of capsaicin (10-7 M) and calcitonin gene-related peptide (CGRP, 10-5 M) were measured. In in vitro dura mater preparation the capsaicin- (10-7 M) induced CGRP release was measured with ELISA.</w:t>
      </w:r>
      <w:r>
        <w:rPr>
          <w:color w:val="000000"/>
          <w:sz w:val="24"/>
          <w:szCs w:val="24"/>
        </w:rPr>
        <w:br/>
        <w:t xml:space="preserve">Results: In control rats both capsaicin and CGRP elicited significant vasodilatory responses that was reproducible. In adriamycin-treated animals the vasodilatory effect of capsaicin was significantly reduced and a decline in the vasodilator effect of capsaicin could be observed after repeated capsaicin administrations. In adriamycin-treated animals the CGRP-induced vasodilatation was also impaired. In the in vitro dura mater preparation the amounts of CGRP released by repeated applications of capsaicin were reduced by adriamycin treatment.</w:t>
      </w:r>
      <w:r>
        <w:rPr>
          <w:color w:val="000000"/>
          <w:sz w:val="24"/>
          <w:szCs w:val="24"/>
        </w:rPr>
        <w:br/>
        <w:t xml:space="preserve">Conclusion: The findings indicate impairments of the functions of both chemosensitive afferent nerves and vascular smooth muscle which may contribute to decreased vascular reactivity and organ damage after adriamycin treatment.</w:t>
      </w:r>
      <w:r>
        <w:rPr>
          <w:color w:val="000000"/>
          <w:sz w:val="24"/>
          <w:szCs w:val="24"/>
        </w:rPr>
        <w:br/>
        <w:t xml:space="preserve">Grant support: OTKA K-101873, TÁMOP 4.2.2.A-11/1/KONV-2012-0052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12064">
    <w:multiLevelType w:val="hybridMultilevel"/>
    <w:lvl w:ilvl="0" w:tplc="32520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12064">
    <w:abstractNumId w:val="68712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404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