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SZEL</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Eros, MD</w:t>
            </w:r>
          </w:p>
          <w:p w:rsidR="00DB4822" w:rsidRDefault="00DB4822" w:rsidP="00E11062">
            <w:pPr>
              <w:pStyle w:val="Konzulensek"/>
            </w:pPr>
            <w:r w:rsidRPr="00DB4822">
              <w:t>assistant professor, SZTE ÁOK</w:t>
            </w:r>
          </w:p>
        </w:tc>
      </w:tr>
      <w:tr w:rsidR="00DB4822" w:rsidTr="00DB4822">
        <w:tc>
          <w:tcPr>
            <w:tcW w:w="9854" w:type="dxa"/>
          </w:tcPr>
          <w:p w:rsidR="00DB4822" w:rsidRPr="00DB4822" w:rsidRDefault="00DB4822" w:rsidP="004D7940">
            <w:pPr>
              <w:pStyle w:val="Konzulensek"/>
            </w:pPr>
            <w:r w:rsidRPr="00DB4822">
              <w:t>Petra Hartmann, MD</w:t>
            </w:r>
          </w:p>
          <w:p w:rsidR="00DB4822" w:rsidRDefault="00DB4822" w:rsidP="00E11062">
            <w:pPr>
              <w:pStyle w:val="Konzulensek"/>
            </w:pPr>
            <w:r w:rsidRPr="00DB4822">
              <w:t>professor's assistant,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Anti-irritant and anti-inflammatory effects of polyols in irritant contact dermatitis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anti-irritant and moisturizer properties of glycerol are well-known. Recent studies suggest that xylitol, the chemical structure of which is similar to glycerol, may also provide protection against irritation. Our aim was to study: (1) the anti-irritant properties of glycerol and xylitol (2) the microcirculatory changes accompanying their application (3) the dose-response relationship.</w:t>
      </w:r>
    </w:p>
    <w:p>
      <w:pPr>
        <w:widowControl w:val="on"/>
        <w:pBdr/>
        <w:spacing w:before="240" w:after="240" w:line="240" w:lineRule="auto"/>
        <w:ind w:left="0" w:right="0"/>
        <w:jc w:val="left"/>
      </w:pPr>
      <w:r>
        <w:rPr>
          <w:color w:val="000000"/>
          <w:sz w:val="24"/>
          <w:szCs w:val="24"/>
        </w:rPr>
        <w:t xml:space="preserve">Methods: Anaesthetized SKH-1 hairless male mice were used. In the dorsal region, a skin fold was formed and fixed with two symmetrical fenestrated titanium frames. On one side of the skin fold, a circular wound was created in order to facilitate the observation of microcirculation. On the other side, irritation was evoked with 5% solution of sodium lauryl sulphate (SLS). In other groups, glycerol of 5% and 10% were added to SLS, respectively. The animals of further groups received SLS with xylitol solutions (8.26% and 16.52%, respectively). The osmolarity of these solutions was equal with those of glycerol solutions. 6 animals were allocated to each group and the volume of the applied solution was 120μl. The skin of control group was exposed to purified water. The exposure time was 3h. Further on, transepidermal water loss (TEWL) was measured and tissue samples were taken for histology. Red blood cell velocity and leukocyte-endothelial interactions were visualized by means of int</w:t>
      </w:r>
      <w:r>
        <w:rPr>
          <w:color w:val="000000"/>
          <w:sz w:val="24"/>
          <w:szCs w:val="24"/>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2001600" cy="1785600"/>
            <wp:wrapSquare wrapText="bothSides"/>
            <wp:docPr id="77959054" name="name1512e7e8e51034" descr="imgtmp_23528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528_int_1.gif"/>
                    <pic:cNvPicPr/>
                  </pic:nvPicPr>
                  <pic:blipFill>
                    <a:blip r:embed="rId1512e7e8e50ff6" cstate="print"/>
                    <a:stretch>
                      <a:fillRect/>
                    </a:stretch>
                  </pic:blipFill>
                  <pic:spPr>
                    <a:xfrm>
                      <a:off x="0" y="0"/>
                      <a:ext cx="2001600" cy="1785600"/>
                    </a:xfrm>
                    <a:prstGeom prst="rect">
                      <a:avLst/>
                    </a:prstGeom>
                    <a:ln w="0">
                      <a:noFill/>
                    </a:ln>
                  </pic:spPr>
                </pic:pic>
              </a:graphicData>
            </a:graphic>
          </wp:anchor>
        </w:drawing>
      </w:r>
      <w:r>
        <w:rPr>
          <w:color w:val="000000"/>
          <w:sz w:val="24"/>
          <w:szCs w:val="24"/>
        </w:rPr>
        <w:t xml:space="preserve">ravital videomicroscopy. The Kruskal-Wallis test with Dunn’s method was chosen for statistical analysis.</w:t>
      </w:r>
    </w:p>
    <w:p>
      <w:pPr>
        <w:widowControl w:val="on"/>
        <w:pBdr/>
        <w:spacing w:before="240" w:after="240" w:line="240" w:lineRule="auto"/>
        <w:ind w:left="0" w:right="0"/>
        <w:jc w:val="left"/>
      </w:pPr>
      <w:r>
        <w:rPr>
          <w:color w:val="000000"/>
          <w:sz w:val="24"/>
          <w:szCs w:val="24"/>
        </w:rPr>
        <w:t xml:space="preserve">Results: Elevation of TEWL values was effectively prevented by higher concentrations of glycerol and xylitol. The histological examination revealed that all applied concentrations of polyols led to a significant increase in epidermal thickness, while such increase in thickness of the granular layer was observed after application of 10% glycerol and 16.52% xylitol. Polyols, except 5% glycerol, ameliorated accumulation of lymphocytes in the epidermis. Furthermore, xylitol at both applied concentrations, while glycerol at higher concentration resulted in lower red blood cell velocity and decreased the number of leukocyte-endothelial interactions.</w:t>
      </w:r>
    </w:p>
    <w:p>
      <w:pPr>
        <w:widowControl w:val="on"/>
        <w:pBdr/>
        <w:spacing w:before="240" w:after="240" w:line="240" w:lineRule="auto"/>
        <w:ind w:left="0" w:right="0"/>
        <w:jc w:val="left"/>
      </w:pPr>
      <w:r>
        <w:rPr>
          <w:color w:val="000000"/>
          <w:sz w:val="24"/>
          <w:szCs w:val="24"/>
        </w:rPr>
        <w:t xml:space="preserve">Conclusion: Polyols contributed to the maintenance of the epidermal barrier as a function of the concentration and were found to be effective anti-irritant and anti-inflammatory agents. However, detailed explanation of the mechanism and the dose-response relationship require further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71267">
    <w:multiLevelType w:val="hybridMultilevel"/>
    <w:lvl w:ilvl="0" w:tplc="62559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71267">
    <w:abstractNumId w:val="85971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151214" Type="http://schemas.openxmlformats.org/officeDocument/2006/relationships/numbering" Target="numbering.xml"/><Relationship Id="rId1512e7e8e50ff6" Type="http://schemas.openxmlformats.org/officeDocument/2006/relationships/image" Target="media/imgrId1512e7e8e50ff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