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LEPRAN</w:t>
            </w:r>
          </w:p>
          <w:p w:rsidR="00C275A3" w:rsidRDefault="00A96AEC" w:rsidP="00C275A3">
            <w:pPr>
              <w:pStyle w:val="Hallgatokepzes"/>
            </w:pPr>
            <w:r>
              <w:t>Medical student</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OMID ZAMANI FOROOSHANI</w:t>
            </w:r>
          </w:p>
          <w:p w:rsidR="00DB4822" w:rsidRDefault="00C275A3" w:rsidP="004D7940">
            <w:pPr>
              <w:pStyle w:val="Hallgatokepzes"/>
            </w:pPr>
            <w:r>
              <w:t>Medical student</w:t>
            </w:r>
            <w:r w:rsidR="00A96AEC">
              <w:br/>
              <w:t>Unified, 6. semester</w:t>
            </w:r>
          </w:p>
          <w:p w:rsidR="00DB4822" w:rsidRDefault="00DB4822" w:rsidP="004D7940">
            <w:pPr>
              <w:pStyle w:val="Hallgatointezmeny-kar"/>
            </w:pPr>
            <w:r>
              <w:t>Unoversity of Szeged</w:t>
            </w:r>
          </w:p>
          <w:p w:rsidR="00C265CE" w:rsidRPr="009E5FF1" w:rsidRDefault="00DB4822" w:rsidP="004D7940">
            <w:pPr>
              <w:pStyle w:val="Hallgatointezmeny-kar"/>
              <w:rPr>
                <w:b/>
                <w:caps/>
              </w:rPr>
            </w:pPr>
            <w:r>
              <w:t>Faculty of medicine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TÖRÖK</w:t>
            </w:r>
          </w:p>
          <w:p w:rsidR="00C275A3" w:rsidRDefault="00A96AEC" w:rsidP="00C275A3">
            <w:pPr>
              <w:pStyle w:val="Hallgatokepzes"/>
            </w:pPr>
            <w:r>
              <w:t>medical</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Zsófia Mezei, MD.</w:t>
            </w:r>
          </w:p>
          <w:p w:rsidR="00DB4822" w:rsidRDefault="00DB4822" w:rsidP="00E11062">
            <w:pPr>
              <w:pStyle w:val="Konzulensek"/>
            </w:pPr>
            <w:r w:rsidRPr="00DB4822">
              <w:t>Associate Professor, SZTE ÁOK Department of Pathophysiology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kisspeptin on eicosanoid synthesis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Kisspeptins play a role in several processes by binding to their GPR receptor and activating the Gq/11, the ERK1/2 and the p38 MAP kinase signaling pathways. It is known that kisspeptin affects coagulation and vascular reactivity. As eicosanoids play an important role in platelet activation and regulation of vascular tone, the aim of our experiment was to investigate the in vitro effects of kisspeptin-13 on eicosanoid synthesis in platelets and aorta.</w:t>
      </w:r>
    </w:p>
    <w:p>
      <w:pPr>
        <w:widowControl w:val="on"/>
        <w:pBdr/>
        <w:spacing w:before="240" w:after="240" w:line="240" w:lineRule="auto"/>
        <w:ind w:left="0" w:right="0"/>
        <w:jc w:val="left"/>
      </w:pPr>
      <w:r>
        <w:rPr>
          <w:color w:val="000000"/>
          <w:sz w:val="24"/>
          <w:szCs w:val="24"/>
        </w:rPr>
        <w:t xml:space="preserve">Methods:</w:t>
      </w:r>
      <w:r>
        <w:rPr>
          <w:color w:val="000000"/>
          <w:sz w:val="24"/>
          <w:szCs w:val="24"/>
        </w:rPr>
        <w:br/>
        <w:t xml:space="preserve">The platelets (2x10</w:t>
      </w:r>
      <w:r>
        <w:rPr>
          <w:color w:val="000000"/>
          <w:position w:val="4"/>
          <w:sz w:val="21"/>
          <w:szCs w:val="21"/>
          <w:vertAlign w:val="superscript"/>
        </w:rPr>
        <w:t xml:space="preserve">8</w:t>
      </w:r>
      <w:r>
        <w:rPr>
          <w:color w:val="000000"/>
          <w:sz w:val="24"/>
          <w:szCs w:val="24"/>
        </w:rPr>
        <w:t xml:space="preserve"> cells/ml) and aorta (15 mg/ml) of Wistar-Kyoto rats were preincubated with 0.10</w:t>
      </w:r>
      <w:r>
        <w:rPr>
          <w:color w:val="000000"/>
          <w:position w:val="4"/>
          <w:sz w:val="21"/>
          <w:szCs w:val="21"/>
          <w:vertAlign w:val="superscript"/>
        </w:rPr>
        <w:t xml:space="preserve">-8</w:t>
      </w:r>
      <w:r>
        <w:rPr>
          <w:color w:val="000000"/>
          <w:sz w:val="24"/>
          <w:szCs w:val="24"/>
        </w:rPr>
        <w:t xml:space="preserve">, 2.5x10</w:t>
      </w:r>
      <w:r>
        <w:rPr>
          <w:color w:val="000000"/>
          <w:position w:val="4"/>
          <w:sz w:val="21"/>
          <w:szCs w:val="21"/>
          <w:vertAlign w:val="superscript"/>
        </w:rPr>
        <w:t xml:space="preserve">-8</w:t>
      </w:r>
      <w:r>
        <w:rPr>
          <w:color w:val="000000"/>
          <w:sz w:val="24"/>
          <w:szCs w:val="24"/>
        </w:rPr>
        <w:t xml:space="preserve">, 5x10</w:t>
      </w:r>
      <w:r>
        <w:rPr>
          <w:color w:val="000000"/>
          <w:position w:val="4"/>
          <w:sz w:val="21"/>
          <w:szCs w:val="21"/>
          <w:vertAlign w:val="superscript"/>
        </w:rPr>
        <w:t xml:space="preserve">-8</w:t>
      </w:r>
      <w:r>
        <w:rPr>
          <w:color w:val="000000"/>
          <w:sz w:val="24"/>
          <w:szCs w:val="24"/>
        </w:rPr>
        <w:t xml:space="preserve">, 7.5x10</w:t>
      </w:r>
      <w:r>
        <w:rPr>
          <w:color w:val="000000"/>
          <w:position w:val="4"/>
          <w:sz w:val="21"/>
          <w:szCs w:val="21"/>
          <w:vertAlign w:val="superscript"/>
        </w:rPr>
        <w:t xml:space="preserve">-8</w:t>
      </w:r>
      <w:r>
        <w:rPr>
          <w:color w:val="000000"/>
          <w:sz w:val="24"/>
          <w:szCs w:val="24"/>
        </w:rPr>
        <w:t xml:space="preserve"> and 10</w:t>
      </w:r>
      <w:r>
        <w:rPr>
          <w:color w:val="000000"/>
          <w:position w:val="4"/>
          <w:sz w:val="21"/>
          <w:szCs w:val="21"/>
          <w:vertAlign w:val="superscript"/>
        </w:rPr>
        <w:t xml:space="preserve">-7</w:t>
      </w:r>
      <w:r>
        <w:rPr>
          <w:color w:val="000000"/>
          <w:sz w:val="24"/>
          <w:szCs w:val="24"/>
        </w:rPr>
        <w:t xml:space="preserve"> mol/L kisspeptin-13 in tissue culture Medium 199. The samples were incubated with 1-</w:t>
      </w:r>
      <w:r>
        <w:rPr>
          <w:color w:val="000000"/>
          <w:position w:val="4"/>
          <w:sz w:val="21"/>
          <w:szCs w:val="21"/>
          <w:vertAlign w:val="superscript"/>
        </w:rPr>
        <w:t xml:space="preserve">14</w:t>
      </w:r>
      <w:r>
        <w:rPr>
          <w:color w:val="000000"/>
          <w:sz w:val="24"/>
          <w:szCs w:val="24"/>
        </w:rPr>
        <w:t xml:space="preserve">C-arachidonic acid (0.172 pmol/ml), and the amount (dpm) of labeled eicosanoids were measured with liquid scintillator after separation with overpressure thin-layer chromatography.</w:t>
      </w:r>
    </w:p>
    <w:p>
      <w:pPr>
        <w:widowControl w:val="on"/>
        <w:pBdr/>
        <w:spacing w:before="240" w:after="240" w:line="240" w:lineRule="auto"/>
        <w:ind w:left="0" w:right="0"/>
        <w:jc w:val="left"/>
      </w:pPr>
      <w:r>
        <w:rPr>
          <w:color w:val="000000"/>
          <w:sz w:val="24"/>
          <w:szCs w:val="24"/>
        </w:rPr>
        <w:t xml:space="preserve">Results:</w:t>
      </w:r>
      <w:r>
        <w:rPr>
          <w:color w:val="000000"/>
          <w:sz w:val="24"/>
          <w:szCs w:val="24"/>
        </w:rPr>
        <w:br/>
        <w:t xml:space="preserve">The thromboxane synthesis was stimulated by kisspeptin-13. The dose-response curve was bell-shaped and the most effective concentration was the 2.5x10</w:t>
      </w:r>
      <w:r>
        <w:rPr>
          <w:color w:val="000000"/>
          <w:position w:val="4"/>
          <w:sz w:val="21"/>
          <w:szCs w:val="21"/>
          <w:vertAlign w:val="superscript"/>
        </w:rPr>
        <w:t xml:space="preserve">-8</w:t>
      </w:r>
      <w:r>
        <w:rPr>
          <w:color w:val="000000"/>
          <w:sz w:val="24"/>
          <w:szCs w:val="24"/>
        </w:rPr>
        <w:t xml:space="preserve"> mol/L inducing a 27% increase. Lipoxygenase products of platelets displayed a dose-dependant elevation until the dose of 5x10</w:t>
      </w:r>
      <w:r>
        <w:rPr>
          <w:color w:val="000000"/>
          <w:position w:val="4"/>
          <w:sz w:val="21"/>
          <w:szCs w:val="21"/>
          <w:vertAlign w:val="superscript"/>
        </w:rPr>
        <w:t xml:space="preserve">-8</w:t>
      </w:r>
      <w:r>
        <w:rPr>
          <w:color w:val="000000"/>
          <w:sz w:val="24"/>
          <w:szCs w:val="24"/>
        </w:rPr>
        <w:t xml:space="preserve"> mol/L (22% increase) from which further stimulation was not possible.</w:t>
      </w:r>
      <w:r>
        <w:rPr>
          <w:color w:val="000000"/>
          <w:sz w:val="24"/>
          <w:szCs w:val="24"/>
        </w:rPr>
        <w:br/>
        <w:t xml:space="preserve">In the aorta, the production of 6-keto-PGF</w:t>
      </w:r>
      <w:r>
        <w:rPr>
          <w:color w:val="000000"/>
          <w:position w:val="-4"/>
          <w:sz w:val="21"/>
          <w:szCs w:val="21"/>
          <w:vertAlign w:val="subscript"/>
        </w:rPr>
        <w:t xml:space="preserve">1α</w:t>
      </w:r>
      <w:r>
        <w:rPr>
          <w:color w:val="000000"/>
          <w:sz w:val="24"/>
          <w:szCs w:val="24"/>
        </w:rPr>
        <w:t xml:space="preserve">, the stable metabolite of prostacyclin, was elevated by 56% when 5x10</w:t>
      </w:r>
      <w:r>
        <w:rPr>
          <w:color w:val="000000"/>
          <w:position w:val="4"/>
          <w:sz w:val="21"/>
          <w:szCs w:val="21"/>
          <w:vertAlign w:val="superscript"/>
        </w:rPr>
        <w:t xml:space="preserve">-8</w:t>
      </w:r>
      <w:r>
        <w:rPr>
          <w:color w:val="000000"/>
          <w:sz w:val="24"/>
          <w:szCs w:val="24"/>
        </w:rPr>
        <w:t xml:space="preserve"> mol/L kisspeptin-13 was applied.</w:t>
      </w:r>
    </w:p>
    <w:p>
      <w:pPr>
        <w:widowControl w:val="on"/>
        <w:pBdr/>
        <w:spacing w:before="240" w:after="240" w:line="240" w:lineRule="auto"/>
        <w:ind w:left="0" w:right="0"/>
        <w:jc w:val="left"/>
      </w:pPr>
      <w:r>
        <w:rPr>
          <w:color w:val="000000"/>
          <w:sz w:val="24"/>
          <w:szCs w:val="24"/>
        </w:rPr>
        <w:t xml:space="preserve">Conclusions:</w:t>
      </w:r>
      <w:r>
        <w:rPr>
          <w:color w:val="000000"/>
          <w:sz w:val="24"/>
          <w:szCs w:val="24"/>
        </w:rPr>
        <w:br/>
        <w:t xml:space="preserve">The stimulation of arachidonate cascade is mediated by the increased icCa</w:t>
      </w:r>
      <w:r>
        <w:rPr>
          <w:color w:val="000000"/>
          <w:position w:val="4"/>
          <w:sz w:val="21"/>
          <w:szCs w:val="21"/>
          <w:vertAlign w:val="superscript"/>
        </w:rPr>
        <w:t xml:space="preserve">+2</w:t>
      </w:r>
      <w:r>
        <w:rPr>
          <w:color w:val="000000"/>
          <w:sz w:val="24"/>
          <w:szCs w:val="24"/>
        </w:rPr>
        <w:t xml:space="preserve"> due to activation of the kisspeptin receptor. However, the different dose-response curves displayed by the cyclooxygenase and lipoxygenase products suggest that other signalling pathways might also play a role in these processes, such as the ERK1/2 and the p38 MAP kinase.</w:t>
      </w:r>
    </w:p>
    <w:p>
      <w:pPr>
        <w:widowControl w:val="on"/>
        <w:pBdr/>
        <w:spacing w:before="240" w:after="240" w:line="240" w:lineRule="auto"/>
        <w:ind w:left="0" w:right="0"/>
        <w:jc w:val="left"/>
      </w:pPr>
      <w:r>
        <w:rPr>
          <w:color w:val="000000"/>
          <w:sz w:val="24"/>
          <w:szCs w:val="24"/>
        </w:rPr>
        <w:t xml:space="preserve">Funding source:                                                                                                                                                    Grant No. ETT355-08/2009, TÁMOP 4.2.2.-08/1-2008-0013;</w:t>
      </w:r>
      <w:r>
        <w:rPr>
          <w:color w:val="000000"/>
          <w:sz w:val="24"/>
          <w:szCs w:val="24"/>
        </w:rPr>
        <w:br/>
        <w:t xml:space="preserve">TÁMOP 4.2.1./B-9/KONYV-2010-005; 4.2.2.2-A-11/1KONYV-2012-0052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85789">
    <w:multiLevelType w:val="hybridMultilevel"/>
    <w:lvl w:ilvl="0" w:tplc="951637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85789">
    <w:abstractNumId w:val="224857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4078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