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CAROLIN GEHLKEN</w:t>
            </w:r>
          </w:p>
          <w:p w:rsidR="00C275A3" w:rsidRDefault="00A96AEC" w:rsidP="00C275A3">
            <w:pPr>
              <w:pStyle w:val="Hallgatokepzes"/>
            </w:pPr>
            <w:r>
              <w:t>Medical Doctor</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István Leprán</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Nikolett Morvay</w:t>
            </w:r>
          </w:p>
          <w:p w:rsidR="00DB4822" w:rsidRDefault="00DB4822" w:rsidP="00E11062">
            <w:pPr>
              <w:pStyle w:val="Konzulensek"/>
            </w:pPr>
            <w:r w:rsidRPr="00DB4822">
              <w:t>PhD student,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fenofibrate in combination with different fatty acid-rich diets on the development of heart failure in rats: dobutamine-stress echocardiography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Polyunsaturated fatty acid-rich diet has protective effect on the acute phase of myocardial infarction. A possible mechanism is their binding to the peroxisome proliferator activated receptors (PPARs). Our aim was to investigate the effect of such diet, combined with an exogenous PPARα activator fenofibrate (F) pretreatment, on the progression of heart failure after myocardial infarction.</w:t>
      </w:r>
    </w:p>
    <w:p>
      <w:pPr>
        <w:widowControl w:val="on"/>
        <w:pBdr/>
        <w:spacing w:before="240" w:after="240" w:line="240" w:lineRule="auto"/>
        <w:ind w:left="0" w:right="0"/>
        <w:jc w:val="left"/>
      </w:pPr>
      <w:r>
        <w:rPr>
          <w:color w:val="000000"/>
          <w:sz w:val="24"/>
          <w:szCs w:val="24"/>
        </w:rPr>
        <w:t xml:space="preserve">Methods: In a preliminary surgery the left main coronary artery of male Sprague-Dawley rats was occluded.Two weeks later the survivors were randomly assigned into two groups: receiving a diet rich in saturated fatty acids (10% pork fat; SF), or a diet rich in polyunsaturated fatty acids (10% sunflower-seed oil; SSO), for 10 weeks.Half of the animals in each dietary group were treated with F (150 mg/kg/day). At the end of the feeding period transthoracic echocardiography, heart rate and arterial blood pressure were recorded during dobutamine-stress.</w:t>
      </w:r>
    </w:p>
    <w:p>
      <w:pPr>
        <w:widowControl w:val="on"/>
        <w:pBdr/>
        <w:spacing w:before="240" w:after="240" w:line="240" w:lineRule="auto"/>
        <w:ind w:left="0" w:right="0"/>
        <w:jc w:val="left"/>
      </w:pPr>
      <w:r>
        <w:rPr>
          <w:color w:val="000000"/>
          <w:sz w:val="24"/>
          <w:szCs w:val="24"/>
        </w:rPr>
        <w:t xml:space="preserve">Results: There were no significant differences in baseline heart rate and blood pressure among the four groups. The cardiac output (CO) was higher in the fenofibrate-treated dietary groups, compared to their corresponding controls (SF+F=22.5±2.4 vs. SF=14.9±1.8; SSO+F=19.5±1.5 vs. SSO=14.2±1.4 ml/min/100g). During dobutamine-stress the CO significantly increased in both dietary groups (127% and 152% in SF and SSO, respectively). There were no additional increases in the fenofibrate-treated groups due to the increased baseline.</w:t>
      </w:r>
    </w:p>
    <w:p>
      <w:pPr>
        <w:widowControl w:val="on"/>
        <w:pBdr/>
        <w:spacing w:before="240" w:after="240" w:line="240" w:lineRule="auto"/>
        <w:ind w:left="0" w:right="0"/>
        <w:jc w:val="left"/>
      </w:pPr>
      <w:r>
        <w:rPr>
          <w:color w:val="000000"/>
          <w:sz w:val="24"/>
          <w:szCs w:val="24"/>
        </w:rPr>
        <w:t xml:space="preserve">Conclusion: A long-term pretreatment with fenofibrate alone or together with a polyunsaturated fatty acid rich diet, moderately improved baseline haemodynamic parameters after myocardial infarction in rats. However fenofibrate did not improve dobutamine-stress response.</w:t>
      </w:r>
    </w:p>
    <w:p>
      <w:pPr>
        <w:widowControl w:val="on"/>
        <w:pBdr/>
        <w:spacing w:before="240" w:after="240" w:line="240" w:lineRule="auto"/>
        <w:ind w:left="0" w:right="0"/>
        <w:jc w:val="left"/>
      </w:pPr>
      <w:r>
        <w:rPr>
          <w:color w:val="000000"/>
          <w:sz w:val="24"/>
          <w:szCs w:val="24"/>
        </w:rPr>
        <w:t xml:space="preserve">Grant support: ETT 233/2009 and TÁMOP 4.2.1/B-09/1/KONV-2010-0005.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78766">
    <w:multiLevelType w:val="hybridMultilevel"/>
    <w:lvl w:ilvl="0" w:tplc="44162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78766">
    <w:abstractNumId w:val="62678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043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