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ILLÉS</w:t>
            </w:r>
          </w:p>
          <w:p w:rsidR="00C275A3" w:rsidRDefault="00A96AEC" w:rsidP="00C275A3">
            <w:pPr>
              <w:pStyle w:val="Hallgatokepzes"/>
            </w:pPr>
            <w:r>
              <w:t>general 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Czakó, M.D., Ph.D.</w:t>
            </w:r>
          </w:p>
          <w:p w:rsidR="00DB4822" w:rsidRDefault="00DB4822" w:rsidP="00E11062">
            <w:pPr>
              <w:pStyle w:val="Konzulensek"/>
            </w:pPr>
            <w:r w:rsidRPr="00DB4822">
              <w:t>associate professor, SZTE ÁOK</w:t>
            </w:r>
          </w:p>
        </w:tc>
      </w:tr>
      <w:tr w:rsidR="00DB4822" w:rsidTr="00DB4822">
        <w:tc>
          <w:tcPr>
            <w:tcW w:w="9854" w:type="dxa"/>
          </w:tcPr>
          <w:p w:rsidR="00DB4822" w:rsidRPr="00DB4822" w:rsidRDefault="00DB4822" w:rsidP="004D7940">
            <w:pPr>
              <w:pStyle w:val="Konzulensek"/>
            </w:pPr>
            <w:r w:rsidRPr="00DB4822">
              <w:t>Viktória Terzin, M.D.</w:t>
            </w:r>
          </w:p>
          <w:p w:rsidR="00DB4822" w:rsidRDefault="00DB4822" w:rsidP="00E11062">
            <w:pPr>
              <w:pStyle w:val="Konzulensek"/>
            </w:pPr>
            <w:r w:rsidRPr="00DB4822">
              <w:t>PhD student,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ERCP audit in an institute of 3rd level progressivity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essential indices of quality assurance and quality improvement in endoscopic procedures in Hungary are totally unknown.</w:t>
      </w:r>
    </w:p>
    <w:p>
      <w:pPr>
        <w:widowControl w:val="on"/>
        <w:pBdr/>
        <w:spacing w:before="240" w:after="240" w:line="240" w:lineRule="auto"/>
        <w:ind w:left="0" w:right="0"/>
        <w:jc w:val="left"/>
      </w:pPr>
      <w:r>
        <w:rPr>
          <w:color w:val="000000"/>
          <w:sz w:val="24"/>
          <w:szCs w:val="24"/>
        </w:rPr>
        <w:t xml:space="preserve">Objective: To audit the endoscopic retrograde cholangiopancreatographic (ERCP) procedures in our institute concerning adequate indication, success and complication rates and to compare the results with international ERCP quality indices.</w:t>
      </w:r>
    </w:p>
    <w:p>
      <w:pPr>
        <w:widowControl w:val="on"/>
        <w:pBdr/>
        <w:spacing w:before="240" w:after="240" w:line="240" w:lineRule="auto"/>
        <w:ind w:left="0" w:right="0"/>
        <w:jc w:val="left"/>
      </w:pPr>
      <w:r>
        <w:rPr>
          <w:color w:val="000000"/>
          <w:sz w:val="24"/>
          <w:szCs w:val="24"/>
        </w:rPr>
        <w:t xml:space="preserve">Methods: Our endoscopy department is a tertiary referral center that attracts patients from an area with one million inhabitants. 731 ERCP examinations were performed in 2011. The ERCPs carried out from March to May 2012 were retrospectively reviewed. The data were evaluated statistically by using descriptive methods.</w:t>
      </w:r>
    </w:p>
    <w:p>
      <w:pPr>
        <w:widowControl w:val="on"/>
        <w:pBdr/>
        <w:spacing w:before="240" w:after="240" w:line="240" w:lineRule="auto"/>
        <w:ind w:left="0" w:right="0"/>
        <w:jc w:val="left"/>
      </w:pPr>
      <w:r>
        <w:rPr>
          <w:color w:val="000000"/>
          <w:sz w:val="24"/>
          <w:szCs w:val="24"/>
        </w:rPr>
        <w:t xml:space="preserve">Results: ERCP was performed on 169 patients during this period (75 male, 94 female, mean age: 65±14.8 y, range: 1–90 y). The most frequent indications were choledocholithiasis (37.9%), obstructive jaundice (19.5%), biliary pancreatitis (7.1%), stent service (7.1%) and malignancy (5.3%). 93% of the examinations were therapeutic and 7% diagnostic. The adequacy of the indications proved to be 79%. The success rate of deep biliary cannulation was 97.4%, that of the removal of stones smaller than 1 cm was 91.8%, and that of stones bigger than 1 cm was 44.4%. Distal biliary stent implantation was successful in 94% and hilar stenting in 92.9% of the cases. 87% of the procedures were performed in one step, and the remainder in two steps on two different days. As concerns complications, mild acute pancreatitis occurred in 7.1%, post-papillotomy bleeding in 3%, perforation in 1.2% and sepsis in 3.6%; other complications (severe acute pancreatitis, cardiopulmonary failure and mortality) were absent.</w:t>
      </w:r>
    </w:p>
    <w:p>
      <w:pPr>
        <w:widowControl w:val="on"/>
        <w:pBdr/>
        <w:spacing w:before="240" w:after="240" w:line="240" w:lineRule="auto"/>
        <w:ind w:left="0" w:right="0"/>
        <w:jc w:val="left"/>
      </w:pPr>
      <w:r>
        <w:rPr>
          <w:color w:val="000000"/>
          <w:sz w:val="24"/>
          <w:szCs w:val="24"/>
        </w:rPr>
        <w:t xml:space="preserve">Conclusions: The quality indices of ERCP examinations in our department are comparable to the international standards. Only the occurrence of acute pancreatitis was slightly higher, the explanations of which needs further clarification. Monitoring of these quality indices would be desirable in all Hungarian endoscopic centres.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15971">
    <w:multiLevelType w:val="hybridMultilevel"/>
    <w:lvl w:ilvl="0" w:tplc="529008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15971">
    <w:abstractNumId w:val="165159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41905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