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ÉVA TISZLAVICZ</w:t>
            </w:r>
          </w:p>
          <w:p w:rsidR="00C275A3" w:rsidRDefault="00A96AEC" w:rsidP="00C275A3">
            <w:pPr>
              <w:pStyle w:val="Hallgatokepzes"/>
            </w:pPr>
            <w:r>
              <w:t> general 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Sikovanyecz M.D., Ph.D.</w:t>
            </w:r>
          </w:p>
          <w:p w:rsidR="00DB4822" w:rsidRDefault="00DB4822" w:rsidP="00E11062">
            <w:pPr>
              <w:pStyle w:val="Konzulensek"/>
            </w:pPr>
            <w:r w:rsidRPr="00DB4822">
              <w:t>Senior lecturer,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terminated pregnancies with common fetal trisomies – Down syndrome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Autosomal trisomies are typically associated with severe physical and mental disorders thus the correct intrauterine diagnosis of these chromosome aberrations is of great importance. The incidence of Down syndrome is 1:800 in newborns, Edwards syndrome is 1:2500 and Patau syndrome is 1:5000, thereby making them the most common aneuploidy.</w:t>
      </w:r>
    </w:p>
    <w:p>
      <w:pPr>
        <w:widowControl w:val="on"/>
        <w:pBdr/>
        <w:spacing w:before="240" w:after="240" w:line="240" w:lineRule="auto"/>
        <w:ind w:left="0" w:right="0"/>
        <w:jc w:val="left"/>
      </w:pPr>
      <w:r>
        <w:rPr>
          <w:color w:val="000000"/>
          <w:sz w:val="24"/>
          <w:szCs w:val="24"/>
        </w:rPr>
        <w:t xml:space="preserve">We examined the prenatal screening of trisomies 21, 18 and 13 (methods and gestational week). We searched for the sonographic abnormalities and its association with the pathological evidence.</w:t>
      </w:r>
    </w:p>
    <w:p>
      <w:pPr>
        <w:widowControl w:val="on"/>
        <w:pBdr/>
        <w:spacing w:before="240" w:after="240" w:line="240" w:lineRule="auto"/>
        <w:ind w:left="0" w:right="0"/>
        <w:jc w:val="left"/>
      </w:pPr>
      <w:r>
        <w:rPr>
          <w:color w:val="000000"/>
          <w:sz w:val="24"/>
          <w:szCs w:val="24"/>
        </w:rPr>
        <w:t xml:space="preserve">Methods: We examined the terminated pregnancies with trisomies 21, 18 and 13 at the University of Szeged Department of Obstetrics and Gynecology. The database was completed by the documentation of the University of Szeged Department of Medical Genetics and the University of Szeged Department of Pathology. Between 2003 and 2011 we found 66 cases with Down, 13 with Edwards and 3 with Patau syndrome.</w:t>
      </w:r>
    </w:p>
    <w:p>
      <w:pPr>
        <w:widowControl w:val="on"/>
        <w:pBdr/>
        <w:spacing w:before="240" w:after="240" w:line="240" w:lineRule="auto"/>
        <w:ind w:left="0" w:right="0"/>
        <w:jc w:val="left"/>
      </w:pPr>
      <w:r>
        <w:rPr>
          <w:color w:val="000000"/>
          <w:sz w:val="24"/>
          <w:szCs w:val="24"/>
        </w:rPr>
        <w:t xml:space="preserve">Results: The cases with Down syndrome (n=66) were identified by high risk pregnancy because of high maternal age (33,3%), by abnormal ultrasound markers and high maternal age together (27,3%), and by abnormal ultrasound markers only (22,7%). By the remainder 16,7% an invasive test was performed because of other reasons. Eight cases with Edwards syndrome were detected by abnormal sonographic markers, in 4 cases high maternal age were present and in one case the abnormal sonographic markers, high maternal age and blood test results together indicated the cytogenetic test. The 3 cases of Patau syndrome were screened by sonographic abnormalities. The most common abnormal sonographic marker was the pathological nuchal translucency associated with or without other physical disorders. After the invasive tests confirming the diagnosis, all the parents asked for the termination of the pregnancies, the interruption was performed at week 18.48 on average.</w:t>
      </w:r>
    </w:p>
    <w:p>
      <w:pPr>
        <w:widowControl w:val="on"/>
        <w:pBdr/>
        <w:spacing w:before="240" w:after="240" w:line="240" w:lineRule="auto"/>
        <w:ind w:left="0" w:right="0"/>
        <w:jc w:val="left"/>
      </w:pPr>
      <w:r>
        <w:rPr>
          <w:color w:val="000000"/>
          <w:sz w:val="24"/>
          <w:szCs w:val="24"/>
        </w:rPr>
        <w:t xml:space="preserve">Conclusion: Screening the autosomal trisomies the high standards of ultrasound is essential. To make the correct diagnosis, the most important is to perform the cytogenetic test indicated by the abnormal sonographic markers and the high maternal 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65479">
    <w:multiLevelType w:val="hybridMultilevel"/>
    <w:lvl w:ilvl="0" w:tplc="89416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65479">
    <w:abstractNumId w:val="44465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1758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