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CSIZMADIA</w:t>
            </w:r>
          </w:p>
          <w:p w:rsidR="00C275A3" w:rsidRDefault="00A96AEC" w:rsidP="00C275A3">
            <w:pPr>
              <w:pStyle w:val="Hallgatokepzes"/>
            </w:pPr>
            <w:r>
              <w:t>General practitioner</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Gellért Sohár</w:t>
            </w:r>
          </w:p>
          <w:p w:rsidR="00DB4822" w:rsidRDefault="00DB4822" w:rsidP="00E11062">
            <w:pPr>
              <w:pStyle w:val="Konzulensek"/>
            </w:pPr>
            <w:r w:rsidRPr="00DB4822">
              <w:t>clinical consultant,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follow-up of medial unicompartmental knee arthroplasty and total knee arthroplasty in comparison to obesity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purpose of this study was to analyze the results of implanting medial unicompartmental knee arthroplasty and total knee arthroplasty (TKA) in comparison to obesity. When osteoarthritis destroys only one compartment of the knee joint, the implantation of unicompartmental knee arthroplasty is possible. Indications for unicompartmental knee arthroplasty using minimally invasive techniques have been expanded. The advantages of this concept are that only the abnormal joint surfaces are removed, the total amount of bone excised is minimal and the amount of foreign material is also minimal. Conventionally obesity was relative contraindication. Our study in 2012 didn’t find significant difference in the lifetimes of unicompartmental arthroplasties among obes and normal weighing patients, but there were much more revision surgery than we have expected. In cases when osteoarthritis reaches more compartment of the knee or the patient is overweight TKA implantation is necessary, but this is a longer and more extensive operation. From the orthopedic literature we know, the lifetimes of the TKA is longer and this does not depend on the bodyweight.</w:t>
      </w:r>
    </w:p>
    <w:p>
      <w:pPr>
        <w:widowControl w:val="on"/>
        <w:pBdr/>
        <w:spacing w:before="240" w:after="240" w:line="240" w:lineRule="auto"/>
        <w:ind w:left="0" w:right="0"/>
        <w:jc w:val="left"/>
      </w:pPr>
      <w:r>
        <w:rPr>
          <w:color w:val="000000"/>
          <w:sz w:val="24"/>
          <w:szCs w:val="24"/>
        </w:rPr>
        <w:t xml:space="preserve">Methods: In 2005 56 unicompartmental knee arthroplasty and 189 TKA were implanted in the Department of Orthopedics of Szeged. We have followed these patients until 2013. Obesity was defined as body mass index (BMI) greater than 33kg/m</w:t>
      </w:r>
      <w:r>
        <w:rPr>
          <w:color w:val="000000"/>
          <w:position w:val="4"/>
          <w:sz w:val="21"/>
          <w:szCs w:val="21"/>
          <w:vertAlign w:val="superscript"/>
        </w:rPr>
        <w:t xml:space="preserve">2</w:t>
      </w:r>
      <w:r>
        <w:rPr>
          <w:color w:val="000000"/>
          <w:sz w:val="24"/>
          <w:szCs w:val="24"/>
        </w:rPr>
        <w:t xml:space="preserve">. We have studied the results in comparison to the body mass index.</w:t>
      </w:r>
    </w:p>
    <w:p>
      <w:pPr>
        <w:widowControl w:val="on"/>
        <w:pBdr/>
        <w:spacing w:before="240" w:after="240" w:line="240" w:lineRule="auto"/>
        <w:ind w:left="0" w:right="0"/>
        <w:jc w:val="left"/>
      </w:pPr>
      <w:r>
        <w:rPr>
          <w:color w:val="000000"/>
          <w:sz w:val="24"/>
          <w:szCs w:val="24"/>
        </w:rPr>
        <w:t xml:space="preserve">Results: Among the patients who received unicompartmental knee arthroplasty, there were 36 normal weight and 20 overweight. The average BMI was 31.2 kg/m</w:t>
      </w:r>
      <w:r>
        <w:rPr>
          <w:color w:val="000000"/>
          <w:position w:val="4"/>
          <w:sz w:val="21"/>
          <w:szCs w:val="21"/>
          <w:vertAlign w:val="superscript"/>
        </w:rPr>
        <w:t xml:space="preserve">2</w:t>
      </w:r>
      <w:r>
        <w:rPr>
          <w:color w:val="000000"/>
          <w:sz w:val="24"/>
          <w:szCs w:val="24"/>
        </w:rPr>
        <w:t xml:space="preserve"> (range, 22.2 to 45.7 kg/m</w:t>
      </w:r>
      <w:r>
        <w:rPr>
          <w:color w:val="000000"/>
          <w:position w:val="4"/>
          <w:sz w:val="21"/>
          <w:szCs w:val="21"/>
          <w:vertAlign w:val="superscript"/>
        </w:rPr>
        <w:t xml:space="preserve">2</w:t>
      </w:r>
      <w:r>
        <w:rPr>
          <w:color w:val="000000"/>
          <w:sz w:val="24"/>
          <w:szCs w:val="24"/>
        </w:rPr>
        <w:t xml:space="preserve">) and the average age was 64 year (range, 47 to 84 year). The implantations were only in the medial compartment of the knee joint. In the last 7 years there were 3 revision surgeries because of aseptic loosening. One patient was obese and two patients had normal weight. In the TKA group there were 141 patients with normal weight and there were 54 obese. In both BMI group, 1-1 knees were revised. The average BMI was 30.5 kg/m</w:t>
      </w:r>
      <w:r>
        <w:rPr>
          <w:color w:val="000000"/>
          <w:position w:val="4"/>
          <w:sz w:val="21"/>
          <w:szCs w:val="21"/>
          <w:vertAlign w:val="superscript"/>
        </w:rPr>
        <w:t xml:space="preserve">2</w:t>
      </w:r>
      <w:r>
        <w:rPr>
          <w:color w:val="000000"/>
          <w:sz w:val="24"/>
          <w:szCs w:val="24"/>
        </w:rPr>
        <w:t xml:space="preserve"> (range 19.8 to 43.8 kg/m</w:t>
      </w:r>
      <w:r>
        <w:rPr>
          <w:color w:val="000000"/>
          <w:position w:val="4"/>
          <w:sz w:val="21"/>
          <w:szCs w:val="21"/>
          <w:vertAlign w:val="superscript"/>
        </w:rPr>
        <w:t xml:space="preserve">2</w:t>
      </w:r>
      <w:r>
        <w:rPr>
          <w:color w:val="000000"/>
          <w:sz w:val="24"/>
          <w:szCs w:val="24"/>
        </w:rPr>
        <w:t xml:space="preserve">) and the average age was 69 year (range, 36 to 84 year).</w:t>
      </w:r>
    </w:p>
    <w:p>
      <w:pPr>
        <w:widowControl w:val="on"/>
        <w:pBdr/>
        <w:spacing w:before="240" w:after="240" w:line="240" w:lineRule="auto"/>
        <w:ind w:left="0" w:right="0"/>
        <w:jc w:val="left"/>
      </w:pPr>
      <w:r>
        <w:rPr>
          <w:color w:val="000000"/>
          <w:sz w:val="24"/>
          <w:szCs w:val="24"/>
        </w:rPr>
        <w:t xml:space="preserve">Conclusion: At the time of the follow-up study, there was significant difference in the survivorship analysis of the two arthroplasty types. Neither of them was depend on the body mass index.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95660">
    <w:multiLevelType w:val="hybridMultilevel"/>
    <w:lvl w:ilvl="0" w:tplc="13153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95660">
    <w:abstractNumId w:val="388956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377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