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CAO CHUN</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TAMÁS FISCHER-SZATMÁRI</w:t>
            </w:r>
          </w:p>
          <w:p w:rsidR="00DB4822" w:rsidRDefault="00C275A3" w:rsidP="004D7940">
            <w:pPr>
              <w:pStyle w:val="Hallgatokepzes"/>
            </w:pPr>
            <w:r>
              <w:t>Medicine</w:t>
            </w:r>
            <w:r w:rsidR="00A96AEC">
              <w:br/>
              <w:t>Unified, 6.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SZILÁRD SZŰCS</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Varga</w:t>
            </w:r>
          </w:p>
          <w:p w:rsidR="00DB4822" w:rsidRDefault="00DB4822" w:rsidP="00E11062">
            <w:pPr>
              <w:pStyle w:val="Konzulensek"/>
            </w:pPr>
            <w:r w:rsidRPr="00DB4822">
              <w:t>assistant lecturer, SZTE ÁOK</w:t>
            </w:r>
          </w:p>
        </w:tc>
      </w:tr>
      <w:tr w:rsidR="00DB4822" w:rsidTr="00DB4822">
        <w:tc>
          <w:tcPr>
            <w:tcW w:w="9854" w:type="dxa"/>
          </w:tcPr>
          <w:p w:rsidR="00DB4822" w:rsidRPr="00DB4822" w:rsidRDefault="00DB4822" w:rsidP="004D7940">
            <w:pPr>
              <w:pStyle w:val="Konzulensek"/>
            </w:pPr>
            <w:r w:rsidRPr="00DB4822">
              <w:t>András Mészáros MD</w:t>
            </w:r>
          </w:p>
          <w:p w:rsidR="00DB4822" w:rsidRDefault="00DB4822" w:rsidP="00E11062">
            <w:pPr>
              <w:pStyle w:val="Konzulensek"/>
            </w:pPr>
            <w:r w:rsidRPr="00DB4822">
              <w:t>PhD student, SZTE ÁOK</w:t>
            </w:r>
          </w:p>
        </w:tc>
      </w:tr>
      <w:tr w:rsidR="00DB4822" w:rsidTr="00DB4822">
        <w:tc>
          <w:tcPr>
            <w:tcW w:w="9854" w:type="dxa"/>
          </w:tcPr>
          <w:p w:rsidR="00DB4822" w:rsidRPr="00DB4822" w:rsidRDefault="00DB4822" w:rsidP="004D7940">
            <w:pPr>
              <w:pStyle w:val="Konzulensek"/>
            </w:pPr>
            <w:r w:rsidRPr="00DB4822">
              <w:t>Dániel Érces MD</w:t>
            </w:r>
          </w:p>
          <w:p w:rsidR="00DB4822" w:rsidRDefault="00DB4822" w:rsidP="00E11062">
            <w:pPr>
              <w:pStyle w:val="Konzulensek"/>
            </w:pPr>
            <w:r w:rsidRPr="00DB4822">
              <w:t>assistant lecturer,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Long-term micro- and macrohemodynamic effects of complement C5a antagonist treatment after experimental partial aorta occlusion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mesenteric circulation is especially sensitive to systemic hemodynamic derangements thus vasoactive treatments targeting circulatory malfunction of the splanchnic area could be of significant therapeutic relevance. Circumstantial evidence suggest that complement activation plays decisive role in this process, thus our objective was to investigate the long-term effects of complement C5a antagonist treatment (AcPepA, Nagoya City University) on the mesenteric circulatory changes in a reproducible and standardized small animal model of mesenteric hypoperfusion.</w:t>
      </w:r>
      <w:r>
        <w:rPr>
          <w:color w:val="000000"/>
          <w:sz w:val="24"/>
          <w:szCs w:val="24"/>
        </w:rPr>
        <w:br/>
        <w:t xml:space="preserve">Methods: In groups 1 and 2 of anesthetized rats (n=6, each) the mean arterial pressure (MAP) of the splanchnic area was kept between 40-50 mmHg for 60 min by partial aortic occlusion (PAO), group 3 (n=6) served as sham-operated control group. Group 1 was treated with AcPepA (4 mg/kg iv) 15 min before the end of ischemia, while the vehicle for AcPepA was administered to groups 2 and 3. After 24 hrs the animals were re-anesthetized and mesenteric artery flow, ileal microcirculation, MAP, heart rate (HR), cardiac output (CO) and total peripheral resistance (TPR) were monitored for 2 hrs.</w:t>
      </w:r>
      <w:r>
        <w:rPr>
          <w:color w:val="000000"/>
          <w:sz w:val="24"/>
          <w:szCs w:val="24"/>
        </w:rPr>
        <w:br/>
        <w:t xml:space="preserve">Results: 24 hrs after PAO the MAP was significantly higher (115±21,2 vs 91±2,5 mmHg) as compared to the control group, the HR (401,8±45,4 vs 348±14,8 bpm) and CO (278,9±28,6 vs 215,7±17,3 ml/min/kg) were also elevated, while the intramural red blood cell velocity was significantly decreased. The AcPepA treatment moderated the CO elevation (195,5±13,9 ml/min/kg), increased the TPR (1,626±0,15 vs 1,082±0,243 mmHg/ml/min) and improved the intramural microcirculation as compared to the PAO group.</w:t>
      </w:r>
      <w:r>
        <w:rPr>
          <w:color w:val="000000"/>
          <w:sz w:val="24"/>
          <w:szCs w:val="24"/>
        </w:rPr>
        <w:br/>
        <w:t xml:space="preserve">Conclusion: A simple animal model was developed whereby the mesenteric circulatory reactions can be investigated reproducibly. The C5a antagonist AcPepA treatment can effectively influence the potentially harmful, local and global long-term consequences of acute mesenteric hypoperfusion.</w:t>
      </w:r>
      <w:r>
        <w:rPr>
          <w:color w:val="000000"/>
          <w:sz w:val="24"/>
          <w:szCs w:val="24"/>
        </w:rPr>
        <w:br/>
        <w:t xml:space="preserve">Grant support: OTKA K75161, TÉT JP 16/09, TÁMOP 4.2.2.A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97386">
    <w:multiLevelType w:val="hybridMultilevel"/>
    <w:lvl w:ilvl="0" w:tplc="12920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97386">
    <w:abstractNumId w:val="28297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05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