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KOVÁCS</w:t>
            </w:r>
          </w:p>
          <w:p w:rsidR="00C275A3" w:rsidRDefault="00A96AEC" w:rsidP="00C275A3">
            <w:pPr>
              <w:pStyle w:val="Hallgatokepzes"/>
            </w:pPr>
            <w:r>
              <w:t>Faculty of Medicine</w:t>
            </w:r>
            <w:r>
              <w:br/>
            </w:r>
            <w:r w:rsidR="00E77B23">
              <w:t>Unified, 12.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Oláh </w:t>
            </w:r>
          </w:p>
          <w:p w:rsidR="00DB4822" w:rsidRDefault="00DB4822" w:rsidP="00E11062">
            <w:pPr>
              <w:pStyle w:val="Konzulensek"/>
            </w:pPr>
            <w:r w:rsidRPr="00DB4822">
              <w:t>associate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Prognostic factors in melanoma patients living in Szeged: why to educate and screen?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incidence of malignant melanoma increases continuously all around the world. In Hungary more than two thousand patients are diagnosed with MM annually and more than three hundred die of the disease. In Szeged the incidence is even higher than the Hungarian average. Although there are more and more new therapeutic options, MMs diagnosed in an early stage and removed surgically have the best survival. Thus both primary and secondary prevention are extremely important.</w:t>
      </w:r>
    </w:p>
    <w:p>
      <w:pPr>
        <w:widowControl w:val="on"/>
        <w:pBdr/>
        <w:spacing w:before="240" w:after="240" w:line="240" w:lineRule="auto"/>
        <w:ind w:left="0" w:right="0"/>
        <w:jc w:val="left"/>
      </w:pPr>
      <w:r>
        <w:rPr>
          <w:color w:val="000000"/>
          <w:sz w:val="24"/>
          <w:szCs w:val="24"/>
        </w:rPr>
        <w:t xml:space="preserve">Aims: In our study we wanted to investigate prognostic factors of melanoma patients living in Szeged and diagnosed in our clinic in the past three decades. Our aim was to analyze the impact of the regular screening and patient education, focusing on all age groups and managed by the Oncology Team of the Department of Dermatology and Allergology, University of Szeged.</w:t>
      </w:r>
    </w:p>
    <w:p>
      <w:pPr>
        <w:widowControl w:val="on"/>
        <w:pBdr/>
        <w:spacing w:before="240" w:after="240" w:line="240" w:lineRule="auto"/>
        <w:ind w:left="0" w:right="0"/>
        <w:jc w:val="left"/>
      </w:pPr>
      <w:r>
        <w:rPr>
          <w:color w:val="000000"/>
          <w:sz w:val="24"/>
          <w:szCs w:val="24"/>
        </w:rPr>
        <w:t xml:space="preserve">Patients and methods: The most important prognostic factors of the primary tumors (localization, histopathological type, thickness and invasion level of the primary tumor) were investigated in 599 MM patients living in Szeged and diagnosed in 1978-2008. All patient data were gained from our clinical database. Six patient groups were formed based on five-year intervals and data were compared.</w:t>
      </w:r>
    </w:p>
    <w:p>
      <w:pPr>
        <w:widowControl w:val="on"/>
        <w:pBdr/>
        <w:spacing w:before="240" w:after="240" w:line="240" w:lineRule="auto"/>
        <w:ind w:left="0" w:right="0"/>
        <w:jc w:val="left"/>
      </w:pPr>
      <w:r>
        <w:rPr>
          <w:color w:val="000000"/>
          <w:sz w:val="24"/>
          <w:szCs w:val="24"/>
        </w:rPr>
        <w:t xml:space="preserve">Results: The incidence of MM increased exponentially in the past three decades and it was ten times higher in 2003-2008 than in 1978-1983 (177 and 17 newly diagnosed MM, respectively). The rate of MMs with a good prognosis, having low invasion level (Clark I-II), superficial spreading melanomas and thin (&lt; 1mm) tumors was increasing significantly during the years, while the rate of neglected tumors decreased.</w:t>
      </w:r>
    </w:p>
    <w:p>
      <w:pPr>
        <w:widowControl w:val="on"/>
        <w:pBdr/>
        <w:spacing w:before="240" w:after="240" w:line="240" w:lineRule="auto"/>
        <w:ind w:left="0" w:right="0"/>
        <w:jc w:val="left"/>
      </w:pPr>
      <w:r>
        <w:rPr>
          <w:color w:val="000000"/>
          <w:sz w:val="24"/>
          <w:szCs w:val="24"/>
        </w:rPr>
        <w:t xml:space="preserve">Conclusion: Our results confirm the importance of secondary prevention.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33313">
    <w:multiLevelType w:val="hybridMultilevel"/>
    <w:lvl w:ilvl="0" w:tplc="41040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33313">
    <w:abstractNumId w:val="39933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04486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