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MAKRA DÁNIEL</w:t>
            </w:r>
          </w:p>
          <w:p w:rsidR="00C275A3" w:rsidRDefault="00A96AEC" w:rsidP="00C275A3">
            <w:pPr>
              <w:pStyle w:val="Hallgatokepzes"/>
            </w:pPr>
            <w:r>
              <w:t>Fogorvostudományi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Laczkóné Dr. Turzó Kinga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Fogászati implantátumok felületmódosítása TiO2 – Ag nanohibrid kompozittal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Dentális implantátumok elvesztését elsősorban az implantátumok körül kialakuló lágy és kemény szöveteket pusztító peri-implantáris gyulladások okozzák. Az új felületmódosítási eljárás célja a peri-implantáris gyulladások megelőzése.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Anyagok és módszerek: A kísérletek során használt titán (Ti) korongokat fogászati implantátumok gyártására használt titán rudakból készültek (Denti</w:t>
      </w:r>
      <w:r>
        <w:rPr>
          <w:color w:val="000000"/>
          <w:position w:val="4"/>
          <w:sz w:val="21"/>
          <w:szCs w:val="21"/>
          <w:vertAlign w:val="superscript"/>
        </w:rPr>
        <w:t xml:space="preserve">®</w:t>
      </w:r>
      <w:r>
        <w:rPr>
          <w:color w:val="000000"/>
          <w:sz w:val="24"/>
          <w:szCs w:val="24"/>
        </w:rPr>
        <w:t xml:space="preserve"> System Ltd. Hungary); CP4 (commercially pure) tisztaságú Ti, vastagságuk 1,5 mm, átmérőjűk 9 mm. A kontroll korongok felszíne homokfúvott és savmaratott volt, az osseointegráció számára megfelelő érdesség kialakítása végett. A többi korong felszínét különböző összetételű nanohibrid kopolimerrel fedtük porlasztásos technikát alkalmazva. i) 60% 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/ 40% plextol (butyl-akrilát, metil-metakrilát); ii) 60% DS(dodecil-szulfát)TiO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/ 40% plextol; iii) 60 AgTiO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/ 40% plextol; iv) 60% AgDSTiO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/40% plextol. A kopolimerekkel fedett felszínt UVC fénnyel aktiváltuk. Pásztázó elektronmikroszkópos (SEM) felvételekkel láthatóvá tettük a felület jellegzetességeit. Atomi erő mikroszkópos (AFM) mérésekkel a felület érdességét (R</w:t>
      </w:r>
      <w:r>
        <w:rPr>
          <w:color w:val="000000"/>
          <w:position w:val="-4"/>
          <w:sz w:val="21"/>
          <w:szCs w:val="21"/>
          <w:vertAlign w:val="subscript"/>
        </w:rPr>
        <w:t xml:space="preserve">a</w:t>
      </w:r>
      <w:r>
        <w:rPr>
          <w:color w:val="000000"/>
          <w:sz w:val="24"/>
          <w:szCs w:val="24"/>
        </w:rPr>
        <w:t xml:space="preserve">) határoztuk meg. Mikrobiológiai tesztek során E. coli baktériumot tenyésztettünk a kezelt felszíneken majd mechanikai (vortexelés) eltávolításuk után meghatároztuk a vitális baktériumok számát.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SEM és az AFM vizsgálatok alátámasztották a módosítások jellegzetes változásait. A különböző bevonatú felületek érdessége a kontroll koronghoz (R</w:t>
      </w:r>
      <w:r>
        <w:rPr>
          <w:color w:val="000000"/>
          <w:position w:val="-4"/>
          <w:sz w:val="21"/>
          <w:szCs w:val="21"/>
          <w:vertAlign w:val="subscript"/>
        </w:rPr>
        <w:t xml:space="preserve">a</w:t>
      </w:r>
      <w:r>
        <w:rPr>
          <w:color w:val="000000"/>
          <w:sz w:val="24"/>
          <w:szCs w:val="24"/>
        </w:rPr>
        <w:t xml:space="preserve">=544±47 nm) képest szignifikáns különbséget mutattak, egyedül az AgTiO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/plextol felülete ér el hasonló értéket (R</w:t>
      </w:r>
      <w:r>
        <w:rPr>
          <w:color w:val="000000"/>
          <w:position w:val="-4"/>
          <w:sz w:val="21"/>
          <w:szCs w:val="21"/>
          <w:vertAlign w:val="subscript"/>
        </w:rPr>
        <w:t xml:space="preserve">a</w:t>
      </w:r>
      <w:r>
        <w:rPr>
          <w:color w:val="000000"/>
          <w:sz w:val="24"/>
          <w:szCs w:val="24"/>
        </w:rPr>
        <w:t xml:space="preserve">=577±41 nm). Az E. coli baktériumokkal végzett kísérletek egyértelműen mutatják az Ag tartalmú felületek antibakteriális hatékonyságát (AgTiO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AgDSTiO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a többivel szemben: i) 61000 telepszám; ii) 16250 telepszám; iii) 0 telepszám; iv) 3000 telepszám.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Következtetések: A felületi érdessége és antibakteriális hatékonysága alapján a 60% AgTiO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/ 40% plextol kopolimerrel történő felületmódosítás alkalmas lehet a peri-implantáris gyulladás megelőzésére és in vivo alkalmazására.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111660">
    <w:multiLevelType w:val="hybridMultilevel"/>
    <w:lvl w:ilvl="0" w:tplc="53850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111660">
    <w:abstractNumId w:val="381116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06481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