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MAKRA</w:t>
            </w:r>
          </w:p>
          <w:p w:rsidR="00C275A3" w:rsidRDefault="00A96AEC" w:rsidP="00C275A3">
            <w:pPr>
              <w:pStyle w:val="Hallgatokepzes"/>
            </w:pPr>
            <w:r>
              <w:t>Faculty of Dentistry</w:t>
            </w:r>
            <w:r>
              <w:br/>
            </w:r>
            <w:r w:rsidR="00E77B23">
              <w:t>MSc, 10. semester</w:t>
            </w:r>
          </w:p>
          <w:p w:rsidR="00C265CE" w:rsidRPr="009E5FF1" w:rsidRDefault="00E77B23" w:rsidP="00C275A3">
            <w:pPr>
              <w:pStyle w:val="Hallgatokepzes"/>
              <w:rPr>
                <w:b/>
                <w:caps/>
              </w:rPr>
            </w:pPr>
            <w:r>
              <w:t>University of Szeged</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Kinga Laczkóné Turzó</w:t>
            </w:r>
          </w:p>
          <w:p w:rsidR="00DB4822" w:rsidRDefault="00DB4822" w:rsidP="00E11062">
            <w:pPr>
              <w:pStyle w:val="Konzulensek"/>
            </w:pPr>
            <w:r w:rsidRPr="00DB4822">
              <w:t>associate professor, SZTE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TiO2 - Ag nano-hybrid composite surface modifications of dental implants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 The loss of dental implants is primarily caused by the inflammatory processes affecting the soft and hard tissues. The new surface treatment technique is designed to prevent the peri-implant infections.</w:t>
      </w:r>
    </w:p>
    <w:p>
      <w:pPr>
        <w:widowControl w:val="on"/>
        <w:pBdr/>
        <w:spacing w:before="240" w:after="240" w:line="240" w:lineRule="auto"/>
        <w:ind w:left="0" w:right="0"/>
        <w:jc w:val="left"/>
      </w:pPr>
      <w:r>
        <w:rPr>
          <w:color w:val="000000"/>
          <w:sz w:val="24"/>
          <w:szCs w:val="24"/>
        </w:rPr>
        <w:br/>
        <w:t xml:space="preserve">Materials and Methods: Titanium (Ti) disks were made of titanium rods used for the fabrication of dental implants (Denti </w:t>
      </w:r>
      <w:r>
        <w:rPr>
          <w:color w:val="000000"/>
          <w:position w:val="4"/>
          <w:sz w:val="21"/>
          <w:szCs w:val="21"/>
          <w:vertAlign w:val="superscript"/>
        </w:rPr>
        <w:t xml:space="preserve">®</w:t>
      </w:r>
      <w:r>
        <w:rPr>
          <w:color w:val="000000"/>
          <w:sz w:val="24"/>
          <w:szCs w:val="24"/>
        </w:rPr>
        <w:t xml:space="preserve"> Hungary Ltd. System), CP4 (commercially pure) grade Ti, 1.5 mm thick and 9 mm in diameter. The surfaces of the control discs were sand-blasted and acid-etched in order to establish an appropriate roughness for osseointegration. The other surfaces of the discs were coated with nano-hybrid copolymer of different compositions by a spraying technique; i) 60% TiO</w:t>
      </w:r>
      <w:r>
        <w:rPr>
          <w:color w:val="000000"/>
          <w:position w:val="-4"/>
          <w:sz w:val="21"/>
          <w:szCs w:val="21"/>
          <w:vertAlign w:val="subscript"/>
        </w:rPr>
        <w:t xml:space="preserve">2</w:t>
      </w:r>
      <w:r>
        <w:rPr>
          <w:color w:val="000000"/>
          <w:sz w:val="24"/>
          <w:szCs w:val="24"/>
        </w:rPr>
        <w:t xml:space="preserve"> / 40% plextol (butyl acrylate/methyl methacrylate copolymer); ii) 60% DS (dodecyl-sulphate)TiO</w:t>
      </w:r>
      <w:r>
        <w:rPr>
          <w:color w:val="000000"/>
          <w:position w:val="-4"/>
          <w:sz w:val="21"/>
          <w:szCs w:val="21"/>
          <w:vertAlign w:val="subscript"/>
        </w:rPr>
        <w:t xml:space="preserve">2</w:t>
      </w:r>
      <w:r>
        <w:rPr>
          <w:color w:val="000000"/>
          <w:sz w:val="24"/>
          <w:szCs w:val="24"/>
        </w:rPr>
        <w:t xml:space="preserve"> / 40% plextol; iii) 60 AgTiO</w:t>
      </w:r>
      <w:r>
        <w:rPr>
          <w:color w:val="000000"/>
          <w:position w:val="-4"/>
          <w:sz w:val="21"/>
          <w:szCs w:val="21"/>
          <w:vertAlign w:val="subscript"/>
        </w:rPr>
        <w:t xml:space="preserve">2</w:t>
      </w:r>
      <w:r>
        <w:rPr>
          <w:color w:val="000000"/>
          <w:sz w:val="24"/>
          <w:szCs w:val="24"/>
        </w:rPr>
        <w:t xml:space="preserve"> / 40% plextol ([Ag] = 0.5 m/m%); iv) 60% AgDSTiO</w:t>
      </w:r>
      <w:r>
        <w:rPr>
          <w:color w:val="000000"/>
          <w:position w:val="-4"/>
          <w:sz w:val="21"/>
          <w:szCs w:val="21"/>
          <w:vertAlign w:val="subscript"/>
        </w:rPr>
        <w:t xml:space="preserve">2</w:t>
      </w:r>
      <w:r>
        <w:rPr>
          <w:color w:val="000000"/>
          <w:sz w:val="24"/>
          <w:szCs w:val="24"/>
        </w:rPr>
        <w:t xml:space="preserve"> /40% plextol. DS gave the hydrophobic feature of the surface. Surfaces were activated by UVC light. Surfaces were visualized with scanning electron microscopy (SEM). Roughness (R</w:t>
      </w:r>
      <w:r>
        <w:rPr>
          <w:color w:val="000000"/>
          <w:position w:val="-4"/>
          <w:sz w:val="21"/>
          <w:szCs w:val="21"/>
          <w:vertAlign w:val="subscript"/>
        </w:rPr>
        <w:t xml:space="preserve">a</w:t>
      </w:r>
      <w:r>
        <w:rPr>
          <w:color w:val="000000"/>
          <w:sz w:val="24"/>
          <w:szCs w:val="24"/>
        </w:rPr>
        <w:t xml:space="preserve">) of the samples were analyzed with atomic force microscopy (AFM). During microbiological tests E. coli bacteria were cultured on treated surfaces and after mechanical removing (vortex) of the biofilm the number of vital bacteria were determined.</w:t>
      </w:r>
    </w:p>
    <w:p>
      <w:pPr>
        <w:widowControl w:val="on"/>
        <w:pBdr/>
        <w:spacing w:before="240" w:after="240" w:line="240" w:lineRule="auto"/>
        <w:ind w:left="0" w:right="0"/>
        <w:jc w:val="left"/>
      </w:pPr>
      <w:r>
        <w:rPr>
          <w:color w:val="000000"/>
          <w:sz w:val="24"/>
          <w:szCs w:val="24"/>
        </w:rPr>
        <w:br/>
        <w:t xml:space="preserve">Results: SEM and AFM investigations were in accordance and showed typical surface characteristics. The roughness of different coated surfaces compared to the control disc (R</w:t>
      </w:r>
      <w:r>
        <w:rPr>
          <w:color w:val="000000"/>
          <w:position w:val="-4"/>
          <w:sz w:val="21"/>
          <w:szCs w:val="21"/>
          <w:vertAlign w:val="subscript"/>
        </w:rPr>
        <w:t xml:space="preserve">a</w:t>
      </w:r>
      <w:r>
        <w:rPr>
          <w:color w:val="000000"/>
          <w:sz w:val="24"/>
          <w:szCs w:val="24"/>
        </w:rPr>
        <w:t xml:space="preserve"> = 544 ± 47 nm) showed significant differences, only the AgTiO</w:t>
      </w:r>
      <w:r>
        <w:rPr>
          <w:color w:val="000000"/>
          <w:position w:val="-4"/>
          <w:sz w:val="21"/>
          <w:szCs w:val="21"/>
          <w:vertAlign w:val="subscript"/>
        </w:rPr>
        <w:t xml:space="preserve">2</w:t>
      </w:r>
      <w:r>
        <w:rPr>
          <w:color w:val="000000"/>
          <w:sz w:val="24"/>
          <w:szCs w:val="24"/>
        </w:rPr>
        <w:t xml:space="preserve">/plextol surface achieved a similar value (R</w:t>
      </w:r>
      <w:r>
        <w:rPr>
          <w:color w:val="000000"/>
          <w:position w:val="-4"/>
          <w:sz w:val="21"/>
          <w:szCs w:val="21"/>
          <w:vertAlign w:val="subscript"/>
        </w:rPr>
        <w:t xml:space="preserve">a</w:t>
      </w:r>
      <w:r>
        <w:rPr>
          <w:color w:val="000000"/>
          <w:sz w:val="24"/>
          <w:szCs w:val="24"/>
        </w:rPr>
        <w:t xml:space="preserve"> = 577 ± 41 nm). E. coli bacteria experiments clearly demonstrate the effectiveness of antibacterial activity of composites containing Ag (AgTiO</w:t>
      </w:r>
      <w:r>
        <w:rPr>
          <w:color w:val="000000"/>
          <w:position w:val="-4"/>
          <w:sz w:val="21"/>
          <w:szCs w:val="21"/>
          <w:vertAlign w:val="subscript"/>
        </w:rPr>
        <w:t xml:space="preserve">2</w:t>
      </w:r>
      <w:r>
        <w:rPr>
          <w:color w:val="000000"/>
          <w:sz w:val="24"/>
          <w:szCs w:val="24"/>
        </w:rPr>
        <w:t xml:space="preserve">, AgDSTiO</w:t>
      </w:r>
      <w:r>
        <w:rPr>
          <w:color w:val="000000"/>
          <w:position w:val="-4"/>
          <w:sz w:val="21"/>
          <w:szCs w:val="21"/>
          <w:vertAlign w:val="subscript"/>
        </w:rPr>
        <w:t xml:space="preserve">2</w:t>
      </w:r>
      <w:r>
        <w:rPr>
          <w:color w:val="000000"/>
          <w:sz w:val="24"/>
          <w:szCs w:val="24"/>
        </w:rPr>
        <w:t xml:space="preserve">) over the others: i) 61,000 CFU (colony-forming unit); ii) 16,250 CFU; iii) 0 CFU; iv) 3,000 CFU.</w:t>
      </w:r>
    </w:p>
    <w:p>
      <w:pPr>
        <w:widowControl w:val="on"/>
        <w:pBdr/>
        <w:spacing w:before="240" w:after="240" w:line="240" w:lineRule="auto"/>
        <w:ind w:left="0" w:right="0"/>
        <w:jc w:val="left"/>
      </w:pPr>
      <w:r>
        <w:rPr>
          <w:color w:val="000000"/>
          <w:sz w:val="24"/>
          <w:szCs w:val="24"/>
        </w:rPr>
        <w:br/>
        <w:t xml:space="preserve">Conclusions: AgTiO</w:t>
      </w:r>
      <w:r>
        <w:rPr>
          <w:color w:val="000000"/>
          <w:position w:val="-4"/>
          <w:sz w:val="21"/>
          <w:szCs w:val="21"/>
          <w:vertAlign w:val="subscript"/>
        </w:rPr>
        <w:t xml:space="preserve">2</w:t>
      </w:r>
      <w:r>
        <w:rPr>
          <w:color w:val="000000"/>
          <w:sz w:val="24"/>
          <w:szCs w:val="24"/>
        </w:rPr>
        <w:t xml:space="preserve"> 60% / 40% plextol copolymer surface modification is suitable to prevent the peri-implant inflammation and in vivo application, based on its surface roughness and antibacterial effectiveness.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59291">
    <w:multiLevelType w:val="hybridMultilevel"/>
    <w:lvl w:ilvl="0" w:tplc="95302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59291">
    <w:abstractNumId w:val="85559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309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