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TAKÁCS ENIKŐ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14.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Glaub Theodóra</w:t>
            </w:r>
          </w:p>
          <w:p w:rsidR="00DB4822" w:rsidRDefault="00DB4822" w:rsidP="00E11062">
            <w:pPr>
              <w:pStyle w:val="Konzulensek"/>
            </w:pPr>
            <w:r w:rsidRPr="00DB4822">
              <w:t>adjunktus, DE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Minya Hajnalka</w:t>
            </w:r>
          </w:p>
          <w:p w:rsidR="00DB4822" w:rsidRDefault="00DB4822" w:rsidP="00E11062">
            <w:pPr>
              <w:pStyle w:val="Konzulensek"/>
            </w:pPr>
            <w:r w:rsidRPr="00DB4822">
              <w:t>klinikai szakorvos,  Jósa András Oktatókórház, Nyíregyháza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ADHD terápiás lehetőségei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</w:t>
      </w:r>
      <w:r>
        <w:rPr>
          <w:color w:val="000000"/>
          <w:sz w:val="24"/>
          <w:szCs w:val="24"/>
        </w:rPr>
        <w:br/>
        <w:t xml:space="preserve">Az ADHD a hiperaktivitás-figyelemzavar tünet együttesének angol mozaikszava. Gyermek és felnőtt korban is előfordulhat, bár gyerekeknél jóval gyakoribb. 3 típusa: figyelemzavaros, hiperaktív-impulzív és kevert típus.</w:t>
      </w:r>
      <w:r>
        <w:rPr>
          <w:color w:val="000000"/>
          <w:sz w:val="24"/>
          <w:szCs w:val="24"/>
        </w:rPr>
        <w:br/>
        <w:t xml:space="preserve">Ezen betegséggel élő gyermekek és felnőttek kezelésének két alappillére van: a gyógyszeres és az egyéb, nem gyógyszeres terápiás lehetőségek. A kezelésben használt szereket két csoportra oszthatjuk: pszichostimuláns és nem pszichostimuláns szerek. Az egyéb terápiás lehetőségek közül a pszichoterápiának és a pszichoedukációnak van kiemelt jelentősége.</w:t>
      </w:r>
      <w:r>
        <w:rPr>
          <w:color w:val="000000"/>
          <w:sz w:val="24"/>
          <w:szCs w:val="24"/>
        </w:rPr>
        <w:br/>
        <w:t xml:space="preserve">Módszerek:</w:t>
      </w:r>
      <w:r>
        <w:rPr>
          <w:color w:val="000000"/>
          <w:sz w:val="24"/>
          <w:szCs w:val="24"/>
        </w:rPr>
        <w:br/>
        <w:t xml:space="preserve">Munkánk során a gyermek és felnőtt irodalom áttekintésével kívántuk összegyűjteni az ADHD kezelésében használt lehetőségeket és ezek mellékhatásait. Ezt követően a Nyíregyházi Jósa András Oktatókórház Gyermekosztályának ADHD-s betegeinek segítségével tanulmányoztuk, hogy a szülők és gyermekeik milyen mértékben vannak tisztában ezen betegség terápiás lehetőségeivel, és ezeket a lehetőségeket igénybe veszik-e, vagy ha nem, mivel indokolják ezt.</w:t>
      </w:r>
      <w:r>
        <w:rPr>
          <w:color w:val="000000"/>
          <w:sz w:val="24"/>
          <w:szCs w:val="24"/>
        </w:rPr>
        <w:br/>
        <w:t xml:space="preserve">Továbbá tanulmányoztuk, hogy az említett terápiák alkalmazása vagy azok elhagyása hogyan hat ezeknek a gyermekeknek a mindennapjaira, iskolai teljesítményére, közösségbe való beilleszkedésükre és életük egyéb területeire. Ehhez a vizsgálatot két alkalommal végeztük el, első alkalommal, mikor a gyermekek az alkalmazott terápia hatása alatt álltak, majd második alkalommal az orvosi kezelésben előírt terápiás szünet tartásakor. Ehhez egy anonim vizsgálatot állítottunk össze, mely 3 kérdőívből állt, egy általános kérdőívből, egy szülői „Hiperkinetikus Zavar Kérdőív”-ből és egy „Gyermekviselkedési kérdőív”-ből.</w:t>
      </w:r>
      <w:r>
        <w:rPr>
          <w:color w:val="000000"/>
          <w:sz w:val="24"/>
          <w:szCs w:val="24"/>
        </w:rPr>
        <w:br/>
        <w:t xml:space="preserve">Következtetés:</w:t>
      </w:r>
      <w:r>
        <w:rPr>
          <w:color w:val="000000"/>
          <w:sz w:val="24"/>
          <w:szCs w:val="24"/>
        </w:rPr>
        <w:br/>
        <w:t xml:space="preserve">Tapasztalataink szerint azoknak a gyerekeknek, akiknek betegségét korán, legjobb esetben iskolai tanulmányaik megkezdése előtt felfedezik, és már ekkor szakemberhez fordulnak a szülők, aki diagnosztizálja a betegségét, és kellő felvilágosítással szolgál róla a szülő és a gyermek számára, majd elindítja nála a szükséges terápiát, sokkal kedvezőbb a prognózis mind a mindennapi, mind iskolai teljesítményükben, mint a későn felfedezett és/vagy kezelésben nem részesülő gyermekek esetében.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564307">
    <w:multiLevelType w:val="hybridMultilevel"/>
    <w:lvl w:ilvl="0" w:tplc="263869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564307">
    <w:abstractNumId w:val="8256430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997614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