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ANNAMÁRIA SZÖDÉNYI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Borbála Kiss M.D., PhD.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Éva Remenyik M.D., Ph.D.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Importance of genomic investigations in the diagnosis of progeroid syndromes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progeroid szindrómák elnevezés heterogén betegségcsoportot jelöl, melyet igen ritka előfordulású, eltérő genetikai hátterű kórformák alkotnak. Közös jellemzőjük a természetes öregedési folyamatok bizonyos elemeinek korai megjelenése. A hátterükben valamely DNS repair fehérje vagy a lamin-A protein mutációja állhat. A korábbi évtizedekben a diagnózis a klinikai tünetek elemzésén alapult. Azonban e ritka kórformák esetén a kezdeti tünetek nagyfokú átfedést mutathatnak, ellentmondásosak lehetnek. A klinikai tünetek alapján megállapított diagnózist bizonyos esetekben genomikai módszerekkel revideálni szükséges.</w:t>
      </w:r>
      <w:r>
        <w:rPr>
          <w:color w:val="000000"/>
          <w:sz w:val="24"/>
          <w:szCs w:val="24"/>
        </w:rPr>
        <w:br/>
        <w:t xml:space="preserve">Az előadásban a genomikai diagnózis folyamatát egy korábban Cockayne szindrómásként diagnosztizált és publikált nőbeteg esetén keresztül ismertetjük. A 35 éves jellegzetes arckarakterrel bíró, progeroid megjelenésű nőbeteg klinikai képét -egyebek mellett- a szubkután zsírszövet teljes hiánya, anyagcsere eltérések, enyhe perifériás neurológiai deficit jellemezte. Ellentmondásos tünetei - cataracta hiánya, normál testmagasság, kifejezetten magas intelligencia, megélt magas életkor, mérsékelt fényérzékenység - miatt korábbi diagnózisa megkérdőjeleződött.</w:t>
      </w:r>
      <w:r>
        <w:rPr>
          <w:color w:val="000000"/>
          <w:sz w:val="24"/>
          <w:szCs w:val="24"/>
        </w:rPr>
        <w:br/>
        <w:t xml:space="preserve">A beteg DNS mintájából exome szekvenálást végeztünk: oldatos sequence capture után „next-generation sequencing” történt. A referencia genommal való összevetés eredményeképp kb. 48.000 SNP-t detektáltunk, melyet a PubMed SNP adatbázissal vetettünk össze, melyekből a klinikai tünetek alapján kb. 25 SNP-t tartunk relevánsnak. Ezeket összevetjük az egészséges családtagok mintájával, hogy megtaláljuk a betegséget okozó báziseltérést.</w:t>
      </w:r>
      <w:r>
        <w:rPr>
          <w:color w:val="000000"/>
          <w:sz w:val="24"/>
          <w:szCs w:val="24"/>
        </w:rPr>
        <w:br/>
        <w:t xml:space="preserve">Ennek ismeretében a későbbiekben a betegből nyert primer sejtkultúrán bizonyítani kívánjuk a mutáció miatt létrejövő fehérje funkciózavart.</w:t>
      </w:r>
      <w:r>
        <w:rPr>
          <w:color w:val="000000"/>
          <w:sz w:val="24"/>
          <w:szCs w:val="24"/>
        </w:rPr>
        <w:br/>
        <w:t xml:space="preserve">A génmutációk pontos felderítése, az öröklésmenet tisztázása lehetővé teszi a későbbi szövődmények prognosztikáját a beteg és családja számára. A hibás fehérjék funkciózavarát feltérképezve a beteget célzottan, személyre szabottan követhetjük.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46652">
    <w:multiLevelType w:val="hybridMultilevel"/>
    <w:lvl w:ilvl="0" w:tplc="605442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46652">
    <w:abstractNumId w:val="22146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9671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