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ERVIN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Lánczi Levente István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rezonanciás kontrasztanyag vizsgálatok alacsony és magas térerőn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</w:t>
      </w:r>
      <w:r>
        <w:rPr>
          <w:color w:val="000000"/>
          <w:sz w:val="24"/>
          <w:szCs w:val="24"/>
        </w:rPr>
        <w:br/>
        <w:t xml:space="preserve">Az orvosi képalkotás egyik leggyorsabban fejlődő és legígéretesebb területe a mágneses magrezonanciás képalkotás (MRI). Kutatási témánk MRI kontrasztot adó valamint élő szervezetben előforduló vegyületek összehasonlító vizsgálata a Föld mágneses terén illetve 1,5T mágneses térerjű klinikai MRI-n.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Méréseinkhez a Föld mágneses terén működő (ún. earth-field NMR, röviden efNMR) valamint klinikai 1,5T MRI készüléket használtunk. Na, Mn és Gd tartalmú vegyületek mellett háromféle Gd-tartalmú kontrasztanyag (Omniscan, Optimark, Dotarem) koncentrációsorait vizsgáltuk. T1, T2 idő és diffúzió mérést végeztünk, egymás után ötször és kontrollként külön-külön is öt alkalommal az efNMR készülékkel. A 1,5T készüléken T1 és T2 térképezést (mapping) végeztünk. A kiértékeléseket a készülékek vezérlésére használatos programokkal, illetve speciális térképezőprogramokkal végeztük. Eredményeinket adatbázisban összesítettük.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paramágneses vegyületek és kontrasztanyagok relaxációs idői a koncentráció függvényében változtak. A relaxiációs idők 1,5T mágneses térerőn és a Föld mágneses térerején korrelációt mutattak, az efNMR mérések azonban jellemzően már alacsonyabb koncentrációjú oldatoknál is változást mutattak a relaxációs időkben. A diamágneses vegyületek esetében nem tapasztalható ilyen eltérés. A hőmérséklet diszkrét változásai nem befolyásolták a relaxációs időket.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paramágneses (Mn, Gd tartalmú) vegyületek oldatai befolyásolják a relaxációs időket, az oldatokra és koncentrációjukra jellemzően. Alacsony kontrasztanyag-koncentráció mellett az efNMR mérések során szignifikánsan rövidültek a T1 idők. A bemutatott kísérletsorozat előfutára kontrasztanyag vizsgálatoknak és olyan biomarkerek feltérképezésének, melyek mind magas, mind alacsony térerőn alkalmazhatók.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41017">
    <w:multiLevelType w:val="hybridMultilevel"/>
    <w:lvl w:ilvl="0" w:tplc="55350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41017">
    <w:abstractNumId w:val="99741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896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